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DF" w:rsidRDefault="00D66BDF" w:rsidP="00D66BDF">
      <w:pPr>
        <w:spacing w:after="0" w:line="360" w:lineRule="auto"/>
        <w:rPr>
          <w:b/>
          <w:i/>
        </w:rPr>
      </w:pPr>
      <w:r w:rsidRPr="00D66BDF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733425" cy="1219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DF" w:rsidRPr="00D66BDF" w:rsidRDefault="00D66BDF" w:rsidP="00D66BDF">
      <w:pPr>
        <w:spacing w:after="0" w:line="360" w:lineRule="auto"/>
        <w:jc w:val="right"/>
        <w:rPr>
          <w:i/>
        </w:rPr>
      </w:pPr>
      <w:r w:rsidRPr="00D66BDF">
        <w:rPr>
          <w:i/>
        </w:rPr>
        <w:t>Antofagasta 13 febrero 2017.-</w:t>
      </w:r>
    </w:p>
    <w:p w:rsidR="00D66BDF" w:rsidRDefault="00D66BDF" w:rsidP="00D66BDF">
      <w:pPr>
        <w:spacing w:after="0" w:line="360" w:lineRule="auto"/>
        <w:jc w:val="center"/>
        <w:rPr>
          <w:b/>
          <w:i/>
        </w:rPr>
      </w:pPr>
    </w:p>
    <w:p w:rsidR="00D66BDF" w:rsidRPr="00D66BDF" w:rsidRDefault="00D66BDF" w:rsidP="00D66BDF">
      <w:pPr>
        <w:spacing w:after="0" w:line="360" w:lineRule="auto"/>
        <w:jc w:val="center"/>
        <w:rPr>
          <w:b/>
          <w:i/>
        </w:rPr>
      </w:pPr>
      <w:r w:rsidRPr="00D66BDF">
        <w:rPr>
          <w:b/>
          <w:i/>
        </w:rPr>
        <w:t xml:space="preserve">DECLARACIÓN PÚBLICA FEDERACIÓN MINERA DE </w:t>
      </w:r>
      <w:proofErr w:type="gramStart"/>
      <w:r w:rsidRPr="00D66BDF">
        <w:rPr>
          <w:b/>
          <w:i/>
        </w:rPr>
        <w:t>CHILE ,</w:t>
      </w:r>
      <w:proofErr w:type="gramEnd"/>
      <w:r w:rsidRPr="00D66BDF">
        <w:rPr>
          <w:b/>
          <w:i/>
        </w:rPr>
        <w:t xml:space="preserve"> POR HUELGA COMPAÑEROS MINERA ESCONDIDA</w:t>
      </w:r>
    </w:p>
    <w:p w:rsidR="00D66BDF" w:rsidRDefault="00D66BDF" w:rsidP="00D810BD">
      <w:pPr>
        <w:spacing w:after="0" w:line="360" w:lineRule="auto"/>
        <w:jc w:val="both"/>
      </w:pPr>
    </w:p>
    <w:p w:rsidR="00D810BD" w:rsidRDefault="00D810BD" w:rsidP="00D66BDF">
      <w:pPr>
        <w:spacing w:after="0" w:line="360" w:lineRule="auto"/>
        <w:ind w:firstLine="708"/>
        <w:jc w:val="both"/>
      </w:pPr>
      <w:r>
        <w:t>El directorio de la Federación Minera de Chile, la cual agrupa a los 18 sindicatos más importantes de la minería privada de nuestro país, quiere</w:t>
      </w:r>
      <w:r w:rsidR="00D66BDF">
        <w:t>n</w:t>
      </w:r>
      <w:r>
        <w:t xml:space="preserve"> u</w:t>
      </w:r>
      <w:r w:rsidR="00D66BDF">
        <w:t>na vez más entregar su</w:t>
      </w:r>
      <w:r>
        <w:t xml:space="preserve"> respaldo y solidaridad con los trabajadores socios del sindicato 1 de minera Escondida, en el marco de la huelga legal iniciada el jueves 9 de febrero.</w:t>
      </w:r>
    </w:p>
    <w:p w:rsidR="00D810BD" w:rsidRDefault="00D810BD" w:rsidP="00D810BD">
      <w:pPr>
        <w:spacing w:after="0" w:line="360" w:lineRule="auto"/>
        <w:jc w:val="both"/>
      </w:pPr>
    </w:p>
    <w:p w:rsidR="00D810BD" w:rsidRDefault="00D810BD" w:rsidP="00D66BDF">
      <w:pPr>
        <w:spacing w:after="0" w:line="360" w:lineRule="auto"/>
        <w:ind w:firstLine="360"/>
        <w:jc w:val="both"/>
      </w:pPr>
      <w:r>
        <w:t xml:space="preserve">En ese contexto manifestamos a la opinión pública nacional e internacional, lo </w:t>
      </w:r>
      <w:proofErr w:type="gramStart"/>
      <w:r>
        <w:t>siguiente :</w:t>
      </w:r>
      <w:proofErr w:type="gramEnd"/>
    </w:p>
    <w:p w:rsidR="00D810BD" w:rsidRDefault="00D810BD" w:rsidP="00D810BD">
      <w:pPr>
        <w:spacing w:after="0" w:line="360" w:lineRule="auto"/>
        <w:jc w:val="both"/>
      </w:pPr>
    </w:p>
    <w:p w:rsidR="00D810BD" w:rsidRDefault="00D810BD" w:rsidP="00D810BD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D810BD">
        <w:t>La huelga de</w:t>
      </w:r>
      <w:r>
        <w:t xml:space="preserve"> los compañeros de minera </w:t>
      </w:r>
      <w:r w:rsidRPr="00D810BD">
        <w:t xml:space="preserve"> Esc</w:t>
      </w:r>
      <w:r>
        <w:t>ondida, y todo conflicto de la “gran m</w:t>
      </w:r>
      <w:r w:rsidRPr="00D810BD">
        <w:t>inería</w:t>
      </w:r>
      <w:r>
        <w:t xml:space="preserve"> del cobre en Chile”,</w:t>
      </w:r>
      <w:r w:rsidRPr="00D810BD">
        <w:t xml:space="preserve"> no puede constituir</w:t>
      </w:r>
      <w:r>
        <w:t xml:space="preserve">se en un mero asunto entre privados ya que </w:t>
      </w:r>
      <w:r w:rsidRPr="00D810BD">
        <w:t>buena parte de las exportaciones e ingresos del Fis</w:t>
      </w:r>
      <w:r>
        <w:t>co dependen de estos resultados.</w:t>
      </w:r>
    </w:p>
    <w:p w:rsidR="00D810BD" w:rsidRDefault="00D810BD" w:rsidP="00D810BD">
      <w:pPr>
        <w:pStyle w:val="Prrafodelista"/>
        <w:spacing w:after="0" w:line="360" w:lineRule="auto"/>
        <w:jc w:val="both"/>
      </w:pPr>
      <w:r>
        <w:t>E</w:t>
      </w:r>
      <w:r w:rsidRPr="00D810BD">
        <w:t xml:space="preserve">l Estado, que se supone titular de la riqueza minera, no puede mantener un rol pasivo de observador. </w:t>
      </w:r>
    </w:p>
    <w:p w:rsidR="00D810BD" w:rsidRDefault="00D810BD" w:rsidP="00D810BD">
      <w:pPr>
        <w:pStyle w:val="Prrafodelista"/>
        <w:spacing w:after="0" w:line="360" w:lineRule="auto"/>
        <w:jc w:val="both"/>
      </w:pPr>
      <w:r>
        <w:t>Como ejemplo, el</w:t>
      </w:r>
      <w:r w:rsidRPr="00D810BD">
        <w:t xml:space="preserve"> 2014 </w:t>
      </w:r>
      <w:r>
        <w:t xml:space="preserve">, en  </w:t>
      </w:r>
      <w:r w:rsidRPr="00D810BD">
        <w:t xml:space="preserve">los 4 meses de duración de la huelga del platino que afectó a 3 mineras privadas sudafricanas, Anglo American entre ellas, supuso una pérdida de </w:t>
      </w:r>
      <w:r>
        <w:t xml:space="preserve"> </w:t>
      </w:r>
    </w:p>
    <w:p w:rsidR="00D810BD" w:rsidRPr="00D810BD" w:rsidRDefault="00D810BD" w:rsidP="00D810BD">
      <w:pPr>
        <w:pStyle w:val="Prrafodelista"/>
        <w:spacing w:after="0" w:line="360" w:lineRule="auto"/>
        <w:jc w:val="both"/>
      </w:pPr>
      <w:r w:rsidRPr="00D810BD">
        <w:t>US $ 2.000 millones y afecto g</w:t>
      </w:r>
      <w:r>
        <w:t>rave e "irreparablemente" a la e</w:t>
      </w:r>
      <w:r w:rsidRPr="00D810BD">
        <w:t>conomía nacional. </w:t>
      </w:r>
    </w:p>
    <w:p w:rsidR="00D810BD" w:rsidRPr="00D810BD" w:rsidRDefault="00D810BD" w:rsidP="00D810BD">
      <w:pPr>
        <w:spacing w:after="0" w:line="360" w:lineRule="auto"/>
        <w:jc w:val="both"/>
      </w:pPr>
    </w:p>
    <w:p w:rsidR="00D810BD" w:rsidRDefault="00D810BD" w:rsidP="00D810BD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D810BD">
        <w:t>El Estado debe asumir un ro</w:t>
      </w:r>
      <w:r w:rsidR="005B002E">
        <w:t xml:space="preserve">l </w:t>
      </w:r>
      <w:proofErr w:type="gramStart"/>
      <w:r w:rsidR="005B002E">
        <w:t>activo .</w:t>
      </w:r>
      <w:proofErr w:type="gramEnd"/>
      <w:r w:rsidR="005B002E">
        <w:t xml:space="preserve"> El Gobierno no puede permitir</w:t>
      </w:r>
      <w:r w:rsidRPr="00D810BD">
        <w:t xml:space="preserve"> que una estrategia empresarial comprometa tan gravemente la economía de las regiones mineras vapuleadas por la cesantía y </w:t>
      </w:r>
      <w:r w:rsidR="005B002E">
        <w:t xml:space="preserve">la </w:t>
      </w:r>
      <w:r w:rsidRPr="00D810BD">
        <w:t>contracción económica.</w:t>
      </w:r>
    </w:p>
    <w:p w:rsidR="005B002E" w:rsidRDefault="005B002E" w:rsidP="005B002E">
      <w:pPr>
        <w:pStyle w:val="Prrafodelista"/>
        <w:spacing w:after="0" w:line="360" w:lineRule="auto"/>
        <w:jc w:val="both"/>
      </w:pPr>
    </w:p>
    <w:p w:rsidR="00D810BD" w:rsidRDefault="005B002E" w:rsidP="00D810BD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 xml:space="preserve">La huelga de los compañeros de minera </w:t>
      </w:r>
      <w:r w:rsidR="00D810BD" w:rsidRPr="00D810BD">
        <w:t xml:space="preserve">Escondida marcará la pauta de las negociaciones mineras que vienen, no sólo por el precedente de los resultados económicos que se </w:t>
      </w:r>
      <w:r w:rsidR="00D810BD" w:rsidRPr="00D810BD">
        <w:lastRenderedPageBreak/>
        <w:t>produzcan sino porque se ha puesto en escena la estrategia concertada de las patronales mineras, que no dudan en desplazar su producción a periodos más prolíficos esperando los ajustes de precio que se presagian.</w:t>
      </w:r>
    </w:p>
    <w:p w:rsidR="005B002E" w:rsidRDefault="005B002E" w:rsidP="005B002E">
      <w:pPr>
        <w:pStyle w:val="Prrafodelista"/>
      </w:pPr>
    </w:p>
    <w:p w:rsidR="00D810BD" w:rsidRDefault="005B002E" w:rsidP="005B002E">
      <w:pPr>
        <w:spacing w:after="0" w:line="360" w:lineRule="auto"/>
        <w:ind w:left="705" w:hanging="345"/>
        <w:jc w:val="both"/>
      </w:pPr>
      <w:r>
        <w:t>4</w:t>
      </w:r>
      <w:r w:rsidR="00D810BD" w:rsidRPr="00D810BD">
        <w:t xml:space="preserve">. </w:t>
      </w:r>
      <w:r>
        <w:t xml:space="preserve"> </w:t>
      </w:r>
      <w:r>
        <w:tab/>
      </w:r>
      <w:r w:rsidR="00D810BD" w:rsidRPr="00D810BD">
        <w:t xml:space="preserve">El </w:t>
      </w:r>
      <w:r w:rsidR="00D66BDF">
        <w:t>cierre patronal ilegal</w:t>
      </w:r>
      <w:r>
        <w:t xml:space="preserve">, al cual recurren de manera permanente </w:t>
      </w:r>
      <w:r w:rsidR="00D810BD" w:rsidRPr="00D810BD">
        <w:t xml:space="preserve">las </w:t>
      </w:r>
      <w:r>
        <w:t xml:space="preserve">empresas mineras, </w:t>
      </w:r>
      <w:r w:rsidR="00D810BD" w:rsidRPr="00D810BD">
        <w:t xml:space="preserve">constituye una </w:t>
      </w:r>
      <w:r>
        <w:t>tentativa de “c</w:t>
      </w:r>
      <w:r w:rsidR="00D810BD" w:rsidRPr="00D810BD">
        <w:t>rimina</w:t>
      </w:r>
      <w:r>
        <w:t>lizar la h</w:t>
      </w:r>
      <w:r w:rsidR="00D810BD">
        <w:t>uelga</w:t>
      </w:r>
      <w:r>
        <w:t>”</w:t>
      </w:r>
      <w:r w:rsidR="00D810BD">
        <w:t xml:space="preserve">, </w:t>
      </w:r>
      <w:r>
        <w:t xml:space="preserve">presentando </w:t>
      </w:r>
      <w:r w:rsidRPr="005B002E">
        <w:t xml:space="preserve">como una situación que implica </w:t>
      </w:r>
      <w:r>
        <w:t xml:space="preserve">inseguridad para las </w:t>
      </w:r>
      <w:proofErr w:type="gramStart"/>
      <w:r>
        <w:t>personas ,</w:t>
      </w:r>
      <w:proofErr w:type="gramEnd"/>
      <w:r>
        <w:t xml:space="preserve"> a la única herramienta de lucha efectiva con que cuentan los trabajadores.</w:t>
      </w:r>
    </w:p>
    <w:p w:rsidR="00D810BD" w:rsidRPr="00D810BD" w:rsidRDefault="00D810BD" w:rsidP="00D810BD">
      <w:pPr>
        <w:spacing w:after="0" w:line="360" w:lineRule="auto"/>
        <w:jc w:val="both"/>
      </w:pPr>
    </w:p>
    <w:p w:rsidR="005B002E" w:rsidRDefault="005B002E" w:rsidP="005B002E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5B002E">
        <w:t xml:space="preserve">El factor común de respuesta a las movilizaciones, regladas o no, es el cierre de faenas unilateral bajo el pretexto de la seguridad </w:t>
      </w:r>
      <w:r>
        <w:t>de instalaciones y trabajadores. No obstante este mismo criterio de seguridad</w:t>
      </w:r>
      <w:r w:rsidRPr="005B002E">
        <w:t xml:space="preserve"> desaparece cada vez que se exige </w:t>
      </w:r>
      <w:r>
        <w:t xml:space="preserve"> </w:t>
      </w:r>
      <w:r w:rsidRPr="005B002E">
        <w:t>forzar la marcha, acelerar el ritmo de labores de alta pelig</w:t>
      </w:r>
      <w:r w:rsidR="007D7447">
        <w:t>rosidad y reducir significativamente la dotación</w:t>
      </w:r>
      <w:r w:rsidRPr="005B002E">
        <w:t xml:space="preserve"> de trabajadores.</w:t>
      </w:r>
    </w:p>
    <w:p w:rsidR="005B002E" w:rsidRDefault="005B002E" w:rsidP="005B002E">
      <w:pPr>
        <w:pStyle w:val="Prrafodelista"/>
        <w:spacing w:after="0" w:line="360" w:lineRule="auto"/>
        <w:jc w:val="both"/>
      </w:pPr>
    </w:p>
    <w:p w:rsidR="00D810BD" w:rsidRDefault="005B002E" w:rsidP="005B002E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Minera L</w:t>
      </w:r>
      <w:r w:rsidR="00D810BD" w:rsidRPr="00D810BD">
        <w:t>os Bronces, de la transnacional  Anglo Am</w:t>
      </w:r>
      <w:r>
        <w:t>erican, Minera Florida y El Peñó</w:t>
      </w:r>
      <w:r w:rsidR="00D810BD" w:rsidRPr="00D810BD">
        <w:t xml:space="preserve">n </w:t>
      </w:r>
      <w:r>
        <w:t xml:space="preserve">de </w:t>
      </w:r>
      <w:r w:rsidR="00D810BD" w:rsidRPr="00D810BD">
        <w:t xml:space="preserve">propiedad de </w:t>
      </w:r>
      <w:proofErr w:type="spellStart"/>
      <w:r w:rsidR="00D810BD" w:rsidRPr="00D810BD">
        <w:t>Yamana</w:t>
      </w:r>
      <w:proofErr w:type="spellEnd"/>
      <w:r w:rsidR="00D810BD" w:rsidRPr="00D810BD">
        <w:t xml:space="preserve"> </w:t>
      </w:r>
      <w:proofErr w:type="spellStart"/>
      <w:proofErr w:type="gramStart"/>
      <w:r w:rsidR="00D810BD" w:rsidRPr="00D810BD">
        <w:t>Gold</w:t>
      </w:r>
      <w:proofErr w:type="spellEnd"/>
      <w:r w:rsidR="00D810BD" w:rsidRPr="00D810BD">
        <w:t xml:space="preserve"> </w:t>
      </w:r>
      <w:r>
        <w:t>,</w:t>
      </w:r>
      <w:proofErr w:type="gramEnd"/>
      <w:r>
        <w:t xml:space="preserve"> minera </w:t>
      </w:r>
      <w:r w:rsidR="00D810BD" w:rsidRPr="00D810BD">
        <w:t>Escondida</w:t>
      </w:r>
      <w:r>
        <w:t xml:space="preserve"> de </w:t>
      </w:r>
      <w:proofErr w:type="spellStart"/>
      <w:r>
        <w:t>Bhp</w:t>
      </w:r>
      <w:proofErr w:type="spellEnd"/>
      <w:r>
        <w:t xml:space="preserve"> </w:t>
      </w:r>
      <w:proofErr w:type="spellStart"/>
      <w:r>
        <w:t>Billiton</w:t>
      </w:r>
      <w:proofErr w:type="spellEnd"/>
      <w:r w:rsidR="00D810BD" w:rsidRPr="00D810BD">
        <w:t xml:space="preserve">, Rio Tinto PLC y JECO (Mitsubishi </w:t>
      </w:r>
      <w:proofErr w:type="spellStart"/>
      <w:r w:rsidR="00D810BD" w:rsidRPr="00D810BD">
        <w:t>Corporation</w:t>
      </w:r>
      <w:proofErr w:type="spellEnd"/>
      <w:r w:rsidR="00D810BD" w:rsidRPr="00D810BD">
        <w:t xml:space="preserve">) han utilizado este mecanismo. Se podría escribir varios capítulos de criminología empresarial con el prontuario de </w:t>
      </w:r>
      <w:proofErr w:type="gramStart"/>
      <w:r w:rsidR="00D810BD" w:rsidRPr="00D810BD">
        <w:t>éstas .</w:t>
      </w:r>
      <w:proofErr w:type="gramEnd"/>
    </w:p>
    <w:p w:rsidR="00D810BD" w:rsidRPr="00D810BD" w:rsidRDefault="00D810BD" w:rsidP="00D810BD">
      <w:pPr>
        <w:spacing w:after="0" w:line="360" w:lineRule="auto"/>
        <w:jc w:val="both"/>
      </w:pPr>
    </w:p>
    <w:p w:rsidR="007D7447" w:rsidRDefault="00D810BD" w:rsidP="007D7447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D810BD">
        <w:t xml:space="preserve">Vestido de moralidad y de respeto por la condición humana, el presidente de </w:t>
      </w:r>
      <w:r w:rsidR="007D7447">
        <w:t xml:space="preserve">  </w:t>
      </w:r>
    </w:p>
    <w:p w:rsidR="007D7447" w:rsidRDefault="00D810BD" w:rsidP="007D7447">
      <w:pPr>
        <w:spacing w:after="0" w:line="360" w:lineRule="auto"/>
        <w:ind w:left="1080"/>
        <w:jc w:val="both"/>
      </w:pPr>
      <w:r w:rsidRPr="00D810BD">
        <w:t>MEL Marcelo Castillo, </w:t>
      </w:r>
      <w:proofErr w:type="gramStart"/>
      <w:r w:rsidRPr="00D810BD">
        <w:t>señalaba, :</w:t>
      </w:r>
      <w:proofErr w:type="gramEnd"/>
      <w:r w:rsidRPr="00D810BD">
        <w:t> "No produciremos durante este periodo, como una acción clara y enfática de que para nuestra compañía la seguridad va antes que cualquier resultado o proceso", </w:t>
      </w:r>
      <w:r w:rsidR="007D7447">
        <w:t>mientras los analistas,  ideó</w:t>
      </w:r>
      <w:r w:rsidRPr="00D810BD">
        <w:t xml:space="preserve">logos de la especulación, presagian un resentimiento del 1,2% </w:t>
      </w:r>
      <w:r w:rsidR="007D7447">
        <w:t xml:space="preserve">en la </w:t>
      </w:r>
      <w:r w:rsidRPr="00D810BD">
        <w:t xml:space="preserve">producción </w:t>
      </w:r>
      <w:r w:rsidR="007D7447">
        <w:t xml:space="preserve">de cobre , </w:t>
      </w:r>
      <w:r w:rsidRPr="00D810BD">
        <w:t>señalando que</w:t>
      </w:r>
      <w:r w:rsidR="007D7447">
        <w:t xml:space="preserve"> incluso en algún punto el metal rojo</w:t>
      </w:r>
      <w:r w:rsidRPr="00D810BD">
        <w:t xml:space="preserve"> podría alcanzar los US $ 3 la libra. </w:t>
      </w:r>
    </w:p>
    <w:p w:rsidR="00D810BD" w:rsidRDefault="00D810BD" w:rsidP="007D7447">
      <w:pPr>
        <w:spacing w:after="0" w:line="360" w:lineRule="auto"/>
        <w:ind w:left="1080"/>
        <w:jc w:val="both"/>
      </w:pPr>
      <w:r w:rsidRPr="00D810BD">
        <w:t xml:space="preserve">Todo parece indicar, tal como </w:t>
      </w:r>
      <w:r w:rsidR="007D7447">
        <w:t xml:space="preserve">el </w:t>
      </w:r>
      <w:r w:rsidRPr="00D810BD">
        <w:t xml:space="preserve">argumento </w:t>
      </w:r>
      <w:r w:rsidR="007D7447">
        <w:t xml:space="preserve">utilizado por </w:t>
      </w:r>
      <w:r w:rsidRPr="00D810BD">
        <w:t>Freeport-Mac Moran al despachar a la mitad de l</w:t>
      </w:r>
      <w:r w:rsidR="007D7447">
        <w:t xml:space="preserve">a dotación de Minera el Abra el </w:t>
      </w:r>
      <w:r w:rsidRPr="00D810BD">
        <w:t xml:space="preserve">2015, </w:t>
      </w:r>
      <w:r w:rsidR="007D7447">
        <w:t xml:space="preserve">es </w:t>
      </w:r>
      <w:r w:rsidRPr="00D810BD">
        <w:t>una tentativa estudiada y calculada de "preservar el recurso" más que una altruista consideración por el género humano.</w:t>
      </w:r>
    </w:p>
    <w:p w:rsidR="00D810BD" w:rsidRPr="00D810BD" w:rsidRDefault="00D810BD" w:rsidP="00D810BD">
      <w:pPr>
        <w:spacing w:after="0" w:line="360" w:lineRule="auto"/>
        <w:jc w:val="both"/>
      </w:pPr>
    </w:p>
    <w:p w:rsidR="007D7447" w:rsidRDefault="00D810BD" w:rsidP="007D7447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D810BD">
        <w:lastRenderedPageBreak/>
        <w:t xml:space="preserve">Es importante tener en consideración que el precio promedio real </w:t>
      </w:r>
      <w:r w:rsidR="007D7447">
        <w:t xml:space="preserve">del </w:t>
      </w:r>
      <w:proofErr w:type="gramStart"/>
      <w:r w:rsidR="007D7447">
        <w:t>cobre ,</w:t>
      </w:r>
      <w:proofErr w:type="gramEnd"/>
      <w:r w:rsidR="007D7447">
        <w:t xml:space="preserve"> </w:t>
      </w:r>
      <w:r w:rsidRPr="00D810BD">
        <w:t xml:space="preserve">desde el año 2000 a la fecha </w:t>
      </w:r>
      <w:r w:rsidR="007D7447">
        <w:t xml:space="preserve">, </w:t>
      </w:r>
      <w:r w:rsidRPr="00D810BD">
        <w:t xml:space="preserve">en los meses de enero </w:t>
      </w:r>
      <w:r w:rsidR="007D7447">
        <w:t xml:space="preserve"> , </w:t>
      </w:r>
      <w:r w:rsidRPr="00D810BD">
        <w:t>son los meno</w:t>
      </w:r>
      <w:r w:rsidR="007D7447">
        <w:t xml:space="preserve">res registrados durante el año. Son </w:t>
      </w:r>
      <w:proofErr w:type="gramStart"/>
      <w:r w:rsidRPr="00D810BD">
        <w:t>un </w:t>
      </w:r>
      <w:r w:rsidR="00D66BDF">
        <w:t xml:space="preserve"> </w:t>
      </w:r>
      <w:r w:rsidRPr="00D810BD">
        <w:t>6,5% menores</w:t>
      </w:r>
      <w:proofErr w:type="gramEnd"/>
      <w:r w:rsidRPr="00D810BD">
        <w:t xml:space="preserve"> a lo</w:t>
      </w:r>
      <w:r w:rsidR="007D7447">
        <w:t>s del mes de abril. L</w:t>
      </w:r>
      <w:r w:rsidRPr="00D810BD">
        <w:t>a estadística de precios no engaña</w:t>
      </w:r>
      <w:r w:rsidR="007D7447">
        <w:t>,</w:t>
      </w:r>
      <w:r w:rsidRPr="00D810BD">
        <w:t xml:space="preserve"> es</w:t>
      </w:r>
      <w:r w:rsidR="007D7447">
        <w:t xml:space="preserve"> menos oneroso no producir en</w:t>
      </w:r>
      <w:r w:rsidRPr="00D810BD">
        <w:t xml:space="preserve"> enero que en los meses posteriores</w:t>
      </w:r>
      <w:r w:rsidR="007D7447">
        <w:t>,</w:t>
      </w:r>
      <w:r w:rsidRPr="00D810BD">
        <w:t xml:space="preserve"> particularmente a partir del segundo trimestre. </w:t>
      </w:r>
    </w:p>
    <w:p w:rsidR="00D810BD" w:rsidRPr="00D810BD" w:rsidRDefault="00D810BD" w:rsidP="00D810BD">
      <w:pPr>
        <w:spacing w:after="0" w:line="360" w:lineRule="auto"/>
        <w:jc w:val="both"/>
      </w:pPr>
    </w:p>
    <w:p w:rsidR="00D810BD" w:rsidRPr="00D810BD" w:rsidRDefault="00D810BD" w:rsidP="007D7447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D810BD">
        <w:t xml:space="preserve"> Estos son lo</w:t>
      </w:r>
      <w:r w:rsidR="00D66BDF">
        <w:t>s valores mensuales reales en dó</w:t>
      </w:r>
      <w:r w:rsidRPr="00D810BD">
        <w:t>lares constantes en la Bolsa de Metales de Londres (Fuente Cochilco).</w:t>
      </w:r>
    </w:p>
    <w:p w:rsidR="00D810BD" w:rsidRPr="00D810BD" w:rsidRDefault="00D810BD" w:rsidP="00D810BD">
      <w:pPr>
        <w:spacing w:after="0" w:line="360" w:lineRule="auto"/>
        <w:jc w:val="both"/>
      </w:pPr>
    </w:p>
    <w:tbl>
      <w:tblPr>
        <w:tblW w:w="34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1785"/>
      </w:tblGrid>
      <w:tr w:rsidR="00D810BD" w:rsidRPr="00D810BD" w:rsidTr="007D7447">
        <w:trPr>
          <w:trHeight w:val="348"/>
          <w:jc w:val="center"/>
        </w:trPr>
        <w:tc>
          <w:tcPr>
            <w:tcW w:w="1720" w:type="dxa"/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Mes 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2000- 2016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ENE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254,01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FEB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258,39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NOV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260,15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JUN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262,00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DIC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262,02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MAR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263,15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OCT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264,76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SEP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268,09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AGO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268,19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JUL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268,60</w:t>
            </w:r>
          </w:p>
        </w:tc>
      </w:tr>
      <w:tr w:rsidR="00D810BD" w:rsidRPr="00D810BD" w:rsidTr="007D7447">
        <w:trPr>
          <w:trHeight w:val="204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MAY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268,91</w:t>
            </w:r>
          </w:p>
        </w:tc>
      </w:tr>
      <w:tr w:rsidR="00D810BD" w:rsidRPr="00D810BD" w:rsidTr="007D7447">
        <w:trPr>
          <w:trHeight w:val="216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ABR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810BD" w:rsidRPr="00D810BD" w:rsidRDefault="00D810BD" w:rsidP="00391E22">
            <w:pPr>
              <w:spacing w:after="0" w:line="240" w:lineRule="auto"/>
              <w:jc w:val="both"/>
            </w:pPr>
            <w:r w:rsidRPr="00D810BD">
              <w:t> $                     270,54</w:t>
            </w:r>
          </w:p>
        </w:tc>
      </w:tr>
    </w:tbl>
    <w:p w:rsidR="00D810BD" w:rsidRDefault="00D810BD" w:rsidP="00391E22">
      <w:pPr>
        <w:spacing w:after="0" w:line="240" w:lineRule="auto"/>
        <w:jc w:val="both"/>
      </w:pPr>
    </w:p>
    <w:p w:rsidR="00D66BDF" w:rsidRPr="00D810BD" w:rsidRDefault="00D66BDF" w:rsidP="00D810BD">
      <w:pPr>
        <w:spacing w:after="0" w:line="360" w:lineRule="auto"/>
        <w:jc w:val="both"/>
      </w:pPr>
    </w:p>
    <w:p w:rsidR="007D7447" w:rsidRDefault="00D810BD" w:rsidP="007D7447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D810BD">
        <w:t xml:space="preserve"> Minera </w:t>
      </w:r>
      <w:proofErr w:type="gramStart"/>
      <w:r w:rsidRPr="00D810BD">
        <w:t xml:space="preserve">Escondida </w:t>
      </w:r>
      <w:r w:rsidR="007D7447">
        <w:t>,</w:t>
      </w:r>
      <w:proofErr w:type="gramEnd"/>
      <w:r w:rsidR="007D7447">
        <w:t xml:space="preserve"> </w:t>
      </w:r>
      <w:r w:rsidRPr="00D810BD">
        <w:t xml:space="preserve">un milagro geológico, el puntal de </w:t>
      </w:r>
      <w:r w:rsidR="007D7447">
        <w:t xml:space="preserve">la producción cuprífera mundial, </w:t>
      </w:r>
      <w:r w:rsidRPr="00D810BD">
        <w:t>cuenta con reservas proba</w:t>
      </w:r>
      <w:r w:rsidR="007D7447">
        <w:t xml:space="preserve">das para los próximos 100 años. </w:t>
      </w:r>
    </w:p>
    <w:p w:rsidR="00D810BD" w:rsidRPr="00D810BD" w:rsidRDefault="007D7447" w:rsidP="007D7447">
      <w:pPr>
        <w:pStyle w:val="Prrafodelista"/>
        <w:spacing w:after="0" w:line="360" w:lineRule="auto"/>
        <w:ind w:left="1080"/>
        <w:jc w:val="both"/>
      </w:pPr>
      <w:r>
        <w:t>Sólo</w:t>
      </w:r>
      <w:r w:rsidR="00D810BD" w:rsidRPr="00D810BD">
        <w:t xml:space="preserve"> el año 2009 amortizó completamente su invers</w:t>
      </w:r>
      <w:r>
        <w:t xml:space="preserve">ión con las utilidades anuales. Posteriormente, </w:t>
      </w:r>
      <w:r w:rsidR="00D810BD" w:rsidRPr="00D810BD">
        <w:t xml:space="preserve">  en abril de</w:t>
      </w:r>
      <w:r>
        <w:t>l</w:t>
      </w:r>
      <w:r w:rsidR="00D810BD" w:rsidRPr="00D810BD">
        <w:t xml:space="preserve"> </w:t>
      </w:r>
      <w:proofErr w:type="gramStart"/>
      <w:r w:rsidR="00D810BD" w:rsidRPr="00D810BD">
        <w:t>2016</w:t>
      </w:r>
      <w:r>
        <w:t xml:space="preserve"> ,</w:t>
      </w:r>
      <w:proofErr w:type="gramEnd"/>
      <w:r w:rsidR="00D810BD" w:rsidRPr="00D810BD">
        <w:t xml:space="preserve"> cuando el precio mensual promediaba US $2.42, inauguró una tercera planta concentradora con una</w:t>
      </w:r>
      <w:r>
        <w:t xml:space="preserve"> inversión de US$4.200 millones.</w:t>
      </w:r>
      <w:r w:rsidR="00D810BD" w:rsidRPr="00D810BD">
        <w:t xml:space="preserve"> </w:t>
      </w:r>
    </w:p>
    <w:p w:rsidR="00D810BD" w:rsidRDefault="00D810BD" w:rsidP="00D810BD">
      <w:pPr>
        <w:spacing w:after="0" w:line="360" w:lineRule="auto"/>
        <w:jc w:val="both"/>
      </w:pPr>
      <w:r w:rsidRPr="00D810BD">
        <w:lastRenderedPageBreak/>
        <w:t> </w:t>
      </w:r>
    </w:p>
    <w:p w:rsidR="00D66BDF" w:rsidRDefault="00D66BDF" w:rsidP="00D810BD">
      <w:pPr>
        <w:spacing w:after="0" w:line="360" w:lineRule="auto"/>
        <w:jc w:val="both"/>
      </w:pPr>
    </w:p>
    <w:p w:rsidR="00D66BDF" w:rsidRPr="00D810BD" w:rsidRDefault="00D66BDF" w:rsidP="00D810BD">
      <w:pPr>
        <w:spacing w:after="0" w:line="360" w:lineRule="auto"/>
        <w:jc w:val="both"/>
      </w:pPr>
    </w:p>
    <w:p w:rsidR="007D7447" w:rsidRDefault="00D810BD" w:rsidP="007D7447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D810BD">
        <w:t xml:space="preserve"> A diferencia de la mayoría de las legislaciones europeas, en nuestro país existe el </w:t>
      </w:r>
      <w:r w:rsidR="007D7447">
        <w:t>cierre patronal, el denominado “</w:t>
      </w:r>
      <w:proofErr w:type="spellStart"/>
      <w:r w:rsidR="007D7447">
        <w:t>l</w:t>
      </w:r>
      <w:r w:rsidRPr="00D810BD">
        <w:t>ock-out</w:t>
      </w:r>
      <w:proofErr w:type="spellEnd"/>
      <w:r w:rsidR="007D7447">
        <w:t>”, instancia</w:t>
      </w:r>
      <w:r w:rsidRPr="00D810BD">
        <w:t xml:space="preserve"> de </w:t>
      </w:r>
      <w:proofErr w:type="spellStart"/>
      <w:r w:rsidRPr="00D810BD">
        <w:t>autotutela</w:t>
      </w:r>
      <w:proofErr w:type="spellEnd"/>
      <w:r w:rsidRPr="00D810BD">
        <w:t xml:space="preserve"> que confiere al empleador la facultad de cerrar temporalmente la empresa por un periodo máximo de 30 días, plazo que parece no operar cuando no se declara f</w:t>
      </w:r>
      <w:r w:rsidR="007D7447">
        <w:t>ormalmente el cierre de faenas.</w:t>
      </w:r>
    </w:p>
    <w:p w:rsidR="00D810BD" w:rsidRDefault="007D7447" w:rsidP="007D7447">
      <w:pPr>
        <w:pStyle w:val="Prrafodelista"/>
        <w:spacing w:after="0" w:line="360" w:lineRule="auto"/>
        <w:ind w:left="1080"/>
        <w:jc w:val="both"/>
      </w:pPr>
      <w:r>
        <w:t>E</w:t>
      </w:r>
      <w:r w:rsidR="00D810BD" w:rsidRPr="00D810BD">
        <w:t>ste lock-out encubierto que debe ser analizado en su legalidad, tiene un notorio sentido simbólico, orquestado desde el Consejo Minero a partir del concepto de "huelga pacífica", y c</w:t>
      </w:r>
      <w:r w:rsidR="00D810BD">
        <w:t>onstituye un</w:t>
      </w:r>
      <w:r>
        <w:t xml:space="preserve">a criminalización de la </w:t>
      </w:r>
      <w:proofErr w:type="gramStart"/>
      <w:r>
        <w:t xml:space="preserve">huelga </w:t>
      </w:r>
      <w:r w:rsidR="00D810BD" w:rsidRPr="00D810BD">
        <w:t xml:space="preserve"> </w:t>
      </w:r>
      <w:r w:rsidR="00D66BDF">
        <w:t>,</w:t>
      </w:r>
      <w:proofErr w:type="gramEnd"/>
      <w:r w:rsidR="00D66BDF">
        <w:t xml:space="preserve"> generando un clima artificial </w:t>
      </w:r>
      <w:r w:rsidR="00D810BD" w:rsidRPr="00D810BD">
        <w:t>de inseguridad y riesgo para las personas.</w:t>
      </w:r>
    </w:p>
    <w:p w:rsidR="00D66BDF" w:rsidRDefault="00D66BDF" w:rsidP="007D7447">
      <w:pPr>
        <w:pStyle w:val="Prrafodelista"/>
        <w:spacing w:after="0" w:line="360" w:lineRule="auto"/>
        <w:ind w:left="1080"/>
        <w:jc w:val="both"/>
      </w:pPr>
    </w:p>
    <w:p w:rsidR="00D66BDF" w:rsidRDefault="00D66BDF" w:rsidP="00D66BDF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La Federación Minera de Chile, y sus 18 sindicatos asociados, reiteran su apoyo y respaldo con los compañeros del sindicato 1 de minera Escondida, instándolos a mantener la unidad y el compañerismo frente a la ofensiva que ha desatado la empresa en contra de sus justas demandas.</w:t>
      </w:r>
    </w:p>
    <w:p w:rsidR="00D66BDF" w:rsidRDefault="00D66BDF" w:rsidP="00D66BDF">
      <w:pPr>
        <w:spacing w:after="0" w:line="360" w:lineRule="auto"/>
        <w:jc w:val="both"/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168910</wp:posOffset>
            </wp:positionV>
            <wp:extent cx="2105025" cy="1417670"/>
            <wp:effectExtent l="0" t="0" r="0" b="0"/>
            <wp:wrapNone/>
            <wp:docPr id="2" name="Imagen 2" descr="G:\pc fmc\FIRMAS DIGITALES\FIRMA DON GUST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 fmc\FIRMAS DIGITALES\FIRMA DON GUSTA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4E2D70" w:rsidRDefault="004E2D70" w:rsidP="00D66BDF">
      <w:pPr>
        <w:spacing w:after="0" w:line="360" w:lineRule="auto"/>
        <w:jc w:val="center"/>
        <w:rPr>
          <w:b/>
          <w:i/>
        </w:rPr>
      </w:pPr>
    </w:p>
    <w:p w:rsidR="008F74BF" w:rsidRPr="00186E11" w:rsidRDefault="008F74BF" w:rsidP="008F74BF">
      <w:pPr>
        <w:spacing w:line="360" w:lineRule="auto"/>
        <w:jc w:val="center"/>
        <w:rPr>
          <w:rFonts w:ascii="Arial" w:hAnsi="Arial" w:cs="Arial"/>
          <w:b/>
        </w:rPr>
      </w:pPr>
      <w:r w:rsidRPr="00186E11">
        <w:rPr>
          <w:rFonts w:ascii="Arial" w:hAnsi="Arial" w:cs="Arial"/>
          <w:b/>
        </w:rPr>
        <w:t>Gustavo Tapia Campos</w:t>
      </w:r>
    </w:p>
    <w:p w:rsidR="008F74BF" w:rsidRPr="00186E11" w:rsidRDefault="008F74BF" w:rsidP="008F74BF">
      <w:pPr>
        <w:spacing w:line="360" w:lineRule="auto"/>
        <w:jc w:val="center"/>
        <w:rPr>
          <w:rFonts w:ascii="Arial" w:hAnsi="Arial" w:cs="Arial"/>
          <w:b/>
        </w:rPr>
      </w:pPr>
      <w:r w:rsidRPr="00186E11">
        <w:rPr>
          <w:rFonts w:ascii="Arial" w:hAnsi="Arial" w:cs="Arial"/>
          <w:b/>
        </w:rPr>
        <w:t>Presidente</w:t>
      </w:r>
      <w:bookmarkStart w:id="0" w:name="_GoBack"/>
      <w:bookmarkEnd w:id="0"/>
    </w:p>
    <w:p w:rsidR="008F74BF" w:rsidRPr="00186E11" w:rsidRDefault="008F74BF" w:rsidP="008F74BF">
      <w:pPr>
        <w:spacing w:line="360" w:lineRule="auto"/>
        <w:jc w:val="center"/>
        <w:rPr>
          <w:rFonts w:ascii="Arial" w:hAnsi="Arial" w:cs="Arial"/>
          <w:b/>
        </w:rPr>
      </w:pPr>
      <w:r w:rsidRPr="00186E11">
        <w:rPr>
          <w:rFonts w:ascii="Arial" w:hAnsi="Arial" w:cs="Arial"/>
          <w:b/>
        </w:rPr>
        <w:t>Federación Minera de Chile</w:t>
      </w:r>
    </w:p>
    <w:p w:rsidR="00D66BDF" w:rsidRPr="00D66BDF" w:rsidRDefault="00D66BDF" w:rsidP="008F74BF">
      <w:pPr>
        <w:spacing w:after="0" w:line="360" w:lineRule="auto"/>
        <w:jc w:val="center"/>
        <w:rPr>
          <w:b/>
          <w:i/>
        </w:rPr>
      </w:pPr>
    </w:p>
    <w:sectPr w:rsidR="00D66BDF" w:rsidRPr="00D66BDF" w:rsidSect="00827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81"/>
    <w:multiLevelType w:val="hybridMultilevel"/>
    <w:tmpl w:val="C9126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E5D"/>
    <w:multiLevelType w:val="hybridMultilevel"/>
    <w:tmpl w:val="2820D5FE"/>
    <w:lvl w:ilvl="0" w:tplc="9EB038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0BD"/>
    <w:rsid w:val="00391E22"/>
    <w:rsid w:val="00493B18"/>
    <w:rsid w:val="004E2D70"/>
    <w:rsid w:val="005B002E"/>
    <w:rsid w:val="007D7447"/>
    <w:rsid w:val="00827EFB"/>
    <w:rsid w:val="008F74BF"/>
    <w:rsid w:val="00CC0421"/>
    <w:rsid w:val="00D03A3C"/>
    <w:rsid w:val="00D66BDF"/>
    <w:rsid w:val="00D8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REMOTO</dc:creator>
  <cp:lastModifiedBy>federación minera</cp:lastModifiedBy>
  <cp:revision>2</cp:revision>
  <dcterms:created xsi:type="dcterms:W3CDTF">2017-02-13T15:16:00Z</dcterms:created>
  <dcterms:modified xsi:type="dcterms:W3CDTF">2017-02-13T15:16:00Z</dcterms:modified>
</cp:coreProperties>
</file>