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BD" w:rsidRPr="00364307" w:rsidRDefault="008C097C" w:rsidP="00344B69">
      <w:pPr>
        <w:pStyle w:val="texto"/>
        <w:rPr>
          <w:bCs/>
          <w:sz w:val="20"/>
          <w:szCs w:val="20"/>
        </w:rPr>
      </w:pPr>
      <w:r w:rsidRPr="00242C47">
        <w:rPr>
          <w:b/>
          <w:sz w:val="12"/>
        </w:rPr>
        <w:t xml:space="preserve">      </w:t>
      </w:r>
      <w:r w:rsidR="008055ED" w:rsidRPr="00242C47">
        <w:rPr>
          <w:b/>
          <w:sz w:val="12"/>
        </w:rPr>
        <w:t xml:space="preserve">   </w:t>
      </w:r>
      <w:r w:rsidR="00344B69" w:rsidRPr="00242C47">
        <w:rPr>
          <w:b/>
          <w:sz w:val="12"/>
        </w:rPr>
        <w:t xml:space="preserve">                            </w:t>
      </w:r>
      <w:r w:rsidR="008055ED" w:rsidRPr="00242C47">
        <w:rPr>
          <w:b/>
          <w:sz w:val="12"/>
        </w:rPr>
        <w:t xml:space="preserve">                                                                               </w:t>
      </w:r>
      <w:r w:rsidRPr="00242C47">
        <w:rPr>
          <w:b/>
          <w:sz w:val="12"/>
        </w:rPr>
        <w:t xml:space="preserve">    </w:t>
      </w:r>
      <w:r w:rsidR="008055ED" w:rsidRPr="00242C47">
        <w:rPr>
          <w:b/>
          <w:sz w:val="12"/>
        </w:rPr>
        <w:t xml:space="preserve">                </w:t>
      </w:r>
      <w:r w:rsidR="003D61BD" w:rsidRPr="00242C47">
        <w:rPr>
          <w:b/>
          <w:sz w:val="12"/>
        </w:rPr>
        <w:t xml:space="preserve">                </w:t>
      </w:r>
      <w:r w:rsidR="00EE3E02" w:rsidRPr="00242C47">
        <w:rPr>
          <w:b/>
          <w:sz w:val="12"/>
        </w:rPr>
        <w:t xml:space="preserve"> </w:t>
      </w:r>
      <w:r w:rsidR="00D505DF" w:rsidRPr="00242C47">
        <w:rPr>
          <w:b/>
          <w:sz w:val="12"/>
        </w:rPr>
        <w:t xml:space="preserve">  </w:t>
      </w:r>
      <w:r w:rsidR="00242C47">
        <w:rPr>
          <w:b/>
          <w:sz w:val="12"/>
        </w:rPr>
        <w:tab/>
      </w:r>
      <w:r w:rsidR="00242C47">
        <w:rPr>
          <w:b/>
          <w:sz w:val="12"/>
        </w:rPr>
        <w:tab/>
      </w:r>
      <w:r w:rsidR="00242C47">
        <w:rPr>
          <w:b/>
          <w:sz w:val="12"/>
        </w:rPr>
        <w:tab/>
      </w:r>
      <w:r w:rsidR="00D505DF" w:rsidRPr="00242C47">
        <w:rPr>
          <w:b/>
          <w:sz w:val="12"/>
        </w:rPr>
        <w:t xml:space="preserve"> </w:t>
      </w:r>
      <w:r w:rsidR="00535EC2">
        <w:rPr>
          <w:b/>
          <w:sz w:val="12"/>
        </w:rPr>
        <w:t xml:space="preserve">    </w:t>
      </w:r>
      <w:r w:rsidR="00535EC2" w:rsidRPr="00364307">
        <w:rPr>
          <w:sz w:val="20"/>
          <w:szCs w:val="20"/>
        </w:rPr>
        <w:t>18</w:t>
      </w:r>
      <w:r w:rsidR="00B12461" w:rsidRPr="00364307">
        <w:rPr>
          <w:sz w:val="20"/>
          <w:szCs w:val="20"/>
        </w:rPr>
        <w:t xml:space="preserve"> </w:t>
      </w:r>
      <w:r w:rsidR="003D61BD" w:rsidRPr="00364307">
        <w:rPr>
          <w:sz w:val="20"/>
          <w:szCs w:val="20"/>
        </w:rPr>
        <w:t xml:space="preserve"> Junio </w:t>
      </w:r>
      <w:r w:rsidR="00D505DF" w:rsidRPr="00364307">
        <w:rPr>
          <w:sz w:val="20"/>
          <w:szCs w:val="20"/>
        </w:rPr>
        <w:t xml:space="preserve"> </w:t>
      </w:r>
      <w:r w:rsidR="008055ED" w:rsidRPr="00364307">
        <w:rPr>
          <w:sz w:val="20"/>
          <w:szCs w:val="20"/>
        </w:rPr>
        <w:t>201</w:t>
      </w:r>
      <w:r w:rsidR="003D61BD" w:rsidRPr="00364307">
        <w:rPr>
          <w:sz w:val="20"/>
          <w:szCs w:val="20"/>
        </w:rPr>
        <w:t>5</w:t>
      </w:r>
    </w:p>
    <w:p w:rsidR="00503955" w:rsidRPr="00503955" w:rsidRDefault="00503955" w:rsidP="00E32313">
      <w:pPr>
        <w:pStyle w:val="Ttulo1"/>
        <w:rPr>
          <w:sz w:val="24"/>
          <w:szCs w:val="24"/>
        </w:rPr>
      </w:pPr>
      <w:r w:rsidRPr="00503955">
        <w:rPr>
          <w:rFonts w:cs="Tahoma"/>
          <w:color w:val="E36C0A" w:themeColor="accent6" w:themeShade="BF"/>
          <w:sz w:val="24"/>
          <w:szCs w:val="24"/>
        </w:rPr>
        <w:t xml:space="preserve">CCS  no descarta un PIB inferior a 2,5%   </w:t>
      </w:r>
    </w:p>
    <w:p w:rsidR="005C0023" w:rsidRPr="00503955" w:rsidRDefault="00854A97" w:rsidP="00E32313">
      <w:pPr>
        <w:pStyle w:val="Ttulo1"/>
        <w:rPr>
          <w:sz w:val="34"/>
          <w:szCs w:val="34"/>
        </w:rPr>
      </w:pPr>
      <w:r w:rsidRPr="00503955">
        <w:rPr>
          <w:sz w:val="34"/>
          <w:szCs w:val="34"/>
        </w:rPr>
        <w:t xml:space="preserve">Escenario Macro Obliga a Ajustar Nuevamente Proyección </w:t>
      </w:r>
      <w:r w:rsidR="00503955" w:rsidRPr="00503955">
        <w:rPr>
          <w:sz w:val="34"/>
          <w:szCs w:val="34"/>
        </w:rPr>
        <w:br/>
      </w:r>
      <w:r w:rsidRPr="00503955">
        <w:rPr>
          <w:sz w:val="34"/>
          <w:szCs w:val="34"/>
        </w:rPr>
        <w:t>de Crecimiento 2015</w:t>
      </w:r>
      <w:r w:rsidR="00E32313" w:rsidRPr="00503955">
        <w:rPr>
          <w:sz w:val="34"/>
          <w:szCs w:val="34"/>
        </w:rPr>
        <w:t xml:space="preserve"> </w:t>
      </w:r>
    </w:p>
    <w:p w:rsidR="009B276E" w:rsidRDefault="000F37DD" w:rsidP="009B276E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 crecimiento </w:t>
      </w:r>
      <w:r w:rsidR="000821E6">
        <w:rPr>
          <w:rFonts w:cs="Arial"/>
          <w:sz w:val="20"/>
          <w:szCs w:val="20"/>
        </w:rPr>
        <w:t>estimado</w:t>
      </w:r>
      <w:r>
        <w:rPr>
          <w:rFonts w:cs="Arial"/>
          <w:sz w:val="20"/>
          <w:szCs w:val="20"/>
        </w:rPr>
        <w:t xml:space="preserve"> para el año 2015 ha experimentado graduales recortes </w:t>
      </w:r>
      <w:r w:rsidR="001E0CA4">
        <w:rPr>
          <w:rFonts w:cs="Arial"/>
          <w:sz w:val="20"/>
          <w:szCs w:val="20"/>
        </w:rPr>
        <w:t>a medida que avanza el año</w:t>
      </w:r>
      <w:r>
        <w:rPr>
          <w:rFonts w:cs="Arial"/>
          <w:sz w:val="20"/>
          <w:szCs w:val="20"/>
        </w:rPr>
        <w:t xml:space="preserve">, </w:t>
      </w:r>
      <w:r w:rsidR="001E0CA4">
        <w:rPr>
          <w:rFonts w:cs="Arial"/>
          <w:sz w:val="20"/>
          <w:szCs w:val="20"/>
        </w:rPr>
        <w:t xml:space="preserve">esto es, </w:t>
      </w:r>
      <w:r w:rsidR="00AC41F9">
        <w:rPr>
          <w:rFonts w:cs="Arial"/>
          <w:sz w:val="20"/>
          <w:szCs w:val="20"/>
        </w:rPr>
        <w:t xml:space="preserve">desde alrededor de un 4% a </w:t>
      </w:r>
      <w:r w:rsidR="000821E6">
        <w:rPr>
          <w:rFonts w:cs="Arial"/>
          <w:sz w:val="20"/>
          <w:szCs w:val="20"/>
        </w:rPr>
        <w:t>comienzos de</w:t>
      </w:r>
      <w:r w:rsidR="001E0CA4">
        <w:rPr>
          <w:rFonts w:cs="Arial"/>
          <w:sz w:val="20"/>
          <w:szCs w:val="20"/>
        </w:rPr>
        <w:t>l</w:t>
      </w:r>
      <w:r w:rsidR="000821E6">
        <w:rPr>
          <w:rFonts w:cs="Arial"/>
          <w:sz w:val="20"/>
          <w:szCs w:val="20"/>
        </w:rPr>
        <w:t xml:space="preserve"> </w:t>
      </w:r>
      <w:r w:rsidR="001E0CA4">
        <w:rPr>
          <w:rFonts w:cs="Arial"/>
          <w:sz w:val="20"/>
          <w:szCs w:val="20"/>
        </w:rPr>
        <w:t>año</w:t>
      </w:r>
      <w:r w:rsidR="000821E6">
        <w:rPr>
          <w:rFonts w:cs="Arial"/>
          <w:sz w:val="20"/>
          <w:szCs w:val="20"/>
        </w:rPr>
        <w:t xml:space="preserve"> a un</w:t>
      </w:r>
      <w:r w:rsidR="00535EC2">
        <w:rPr>
          <w:rFonts w:cs="Arial"/>
          <w:sz w:val="20"/>
          <w:szCs w:val="20"/>
        </w:rPr>
        <w:t xml:space="preserve"> consenso en torno al 2,7</w:t>
      </w:r>
      <w:r w:rsidR="00861208">
        <w:rPr>
          <w:rFonts w:cs="Arial"/>
          <w:sz w:val="20"/>
          <w:szCs w:val="20"/>
        </w:rPr>
        <w:t>% en</w:t>
      </w:r>
      <w:r w:rsidR="00535EC2">
        <w:rPr>
          <w:rFonts w:cs="Arial"/>
          <w:sz w:val="20"/>
          <w:szCs w:val="20"/>
        </w:rPr>
        <w:t xml:space="preserve"> la actualidad</w:t>
      </w:r>
      <w:r w:rsidR="00AC41F9">
        <w:rPr>
          <w:rFonts w:cs="Arial"/>
          <w:sz w:val="20"/>
          <w:szCs w:val="20"/>
        </w:rPr>
        <w:t>.</w:t>
      </w:r>
    </w:p>
    <w:p w:rsidR="000821E6" w:rsidRDefault="000821E6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Pese a este importante ajuste de proyecciones, e</w:t>
      </w:r>
      <w:r w:rsidR="009B276E">
        <w:rPr>
          <w:rFonts w:cs="Arial"/>
          <w:sz w:val="20"/>
          <w:szCs w:val="20"/>
        </w:rPr>
        <w:t xml:space="preserve">l análisis de las cifras </w:t>
      </w:r>
      <w:r>
        <w:rPr>
          <w:rFonts w:cs="Arial"/>
          <w:sz w:val="20"/>
          <w:szCs w:val="20"/>
        </w:rPr>
        <w:t xml:space="preserve">más recientes </w:t>
      </w:r>
      <w:r w:rsidR="009B276E">
        <w:rPr>
          <w:rFonts w:cs="Arial"/>
          <w:sz w:val="20"/>
          <w:szCs w:val="20"/>
        </w:rPr>
        <w:t xml:space="preserve">de coyuntura </w:t>
      </w:r>
      <w:r>
        <w:rPr>
          <w:rFonts w:cs="Arial"/>
          <w:sz w:val="20"/>
          <w:szCs w:val="20"/>
        </w:rPr>
        <w:t>n</w:t>
      </w:r>
      <w:r w:rsidR="009B276E">
        <w:rPr>
          <w:rFonts w:cs="Arial"/>
          <w:sz w:val="20"/>
          <w:szCs w:val="20"/>
        </w:rPr>
        <w:t xml:space="preserve">o permite </w:t>
      </w:r>
      <w:r w:rsidR="001E0CA4">
        <w:rPr>
          <w:rFonts w:cs="Arial"/>
          <w:sz w:val="20"/>
          <w:szCs w:val="20"/>
        </w:rPr>
        <w:t>descartar</w:t>
      </w:r>
      <w:r>
        <w:rPr>
          <w:rFonts w:cs="Arial"/>
          <w:sz w:val="20"/>
          <w:szCs w:val="20"/>
        </w:rPr>
        <w:t xml:space="preserve"> que este ciclo de desaceleración </w:t>
      </w:r>
      <w:r w:rsidR="001E0CA4">
        <w:rPr>
          <w:rFonts w:cs="Arial"/>
          <w:sz w:val="20"/>
          <w:szCs w:val="20"/>
        </w:rPr>
        <w:t>pueda acentuarse</w:t>
      </w:r>
      <w:r w:rsidR="00643514">
        <w:rPr>
          <w:rFonts w:cs="Arial"/>
          <w:sz w:val="20"/>
          <w:szCs w:val="20"/>
        </w:rPr>
        <w:t xml:space="preserve">, </w:t>
      </w:r>
      <w:r w:rsidR="002E1237">
        <w:rPr>
          <w:rFonts w:cs="Arial"/>
          <w:sz w:val="20"/>
          <w:szCs w:val="20"/>
        </w:rPr>
        <w:t>poniendo</w:t>
      </w:r>
      <w:r w:rsidR="008A4893">
        <w:rPr>
          <w:rFonts w:cs="Arial"/>
          <w:sz w:val="20"/>
          <w:szCs w:val="20"/>
        </w:rPr>
        <w:t xml:space="preserve"> </w:t>
      </w:r>
      <w:r w:rsidR="002E1237">
        <w:rPr>
          <w:rFonts w:cs="Arial"/>
          <w:sz w:val="20"/>
          <w:szCs w:val="20"/>
        </w:rPr>
        <w:t>un manto de dudas sobre la posibilidad de lograr el crecimiento</w:t>
      </w:r>
      <w:r w:rsidR="00B12461">
        <w:rPr>
          <w:rFonts w:cs="Arial"/>
          <w:sz w:val="20"/>
          <w:szCs w:val="20"/>
        </w:rPr>
        <w:t xml:space="preserve"> actualmente</w:t>
      </w:r>
      <w:r w:rsidR="009B276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previsto</w:t>
      </w:r>
      <w:r w:rsidR="007E559E">
        <w:rPr>
          <w:rFonts w:cs="Arial"/>
          <w:sz w:val="20"/>
          <w:szCs w:val="20"/>
        </w:rPr>
        <w:t xml:space="preserve"> para 2015</w:t>
      </w:r>
      <w:r>
        <w:rPr>
          <w:rFonts w:cs="Arial"/>
          <w:sz w:val="20"/>
          <w:szCs w:val="20"/>
        </w:rPr>
        <w:t xml:space="preserve">. </w:t>
      </w:r>
      <w:r w:rsidR="00861208">
        <w:rPr>
          <w:rFonts w:cs="Arial"/>
          <w:sz w:val="20"/>
          <w:szCs w:val="20"/>
        </w:rPr>
        <w:t>En efecto</w:t>
      </w:r>
      <w:r w:rsidR="00643514">
        <w:rPr>
          <w:rFonts w:cs="Arial"/>
          <w:sz w:val="20"/>
          <w:szCs w:val="20"/>
        </w:rPr>
        <w:t xml:space="preserve">, </w:t>
      </w:r>
      <w:r w:rsidR="001E0CA4">
        <w:rPr>
          <w:rFonts w:cs="Arial"/>
          <w:sz w:val="20"/>
          <w:szCs w:val="20"/>
        </w:rPr>
        <w:t xml:space="preserve">para </w:t>
      </w:r>
      <w:r w:rsidR="00643514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>ograr</w:t>
      </w:r>
      <w:r w:rsidR="002E1237">
        <w:rPr>
          <w:rFonts w:cs="Arial"/>
          <w:sz w:val="20"/>
          <w:szCs w:val="20"/>
        </w:rPr>
        <w:t>lo</w:t>
      </w:r>
      <w:r w:rsidR="001E0CA4">
        <w:rPr>
          <w:rFonts w:cs="Arial"/>
          <w:sz w:val="20"/>
          <w:szCs w:val="20"/>
        </w:rPr>
        <w:t>,</w:t>
      </w:r>
      <w:r w:rsidR="00643514">
        <w:rPr>
          <w:rFonts w:cs="Arial"/>
          <w:sz w:val="20"/>
          <w:szCs w:val="20"/>
        </w:rPr>
        <w:t xml:space="preserve"> </w:t>
      </w:r>
      <w:r w:rsidR="00DC784B">
        <w:rPr>
          <w:rFonts w:cs="Arial"/>
          <w:sz w:val="20"/>
          <w:szCs w:val="20"/>
        </w:rPr>
        <w:t xml:space="preserve">el crecimiento </w:t>
      </w:r>
      <w:r w:rsidR="00242C47">
        <w:rPr>
          <w:rFonts w:cs="Arial"/>
          <w:sz w:val="20"/>
          <w:szCs w:val="20"/>
        </w:rPr>
        <w:t xml:space="preserve">hacia </w:t>
      </w:r>
      <w:r w:rsidR="00643514">
        <w:rPr>
          <w:rFonts w:cs="Arial"/>
          <w:sz w:val="20"/>
          <w:szCs w:val="20"/>
        </w:rPr>
        <w:t>el segundo semestre</w:t>
      </w:r>
      <w:r w:rsidR="001E0CA4">
        <w:rPr>
          <w:rFonts w:cs="Arial"/>
          <w:sz w:val="20"/>
          <w:szCs w:val="20"/>
        </w:rPr>
        <w:t xml:space="preserve"> debiera alcanzar a 3%</w:t>
      </w:r>
      <w:r w:rsidR="00643514">
        <w:rPr>
          <w:rFonts w:cs="Arial"/>
          <w:sz w:val="20"/>
          <w:szCs w:val="20"/>
        </w:rPr>
        <w:t>,</w:t>
      </w:r>
      <w:r w:rsidR="001E0CA4">
        <w:rPr>
          <w:rFonts w:cs="Arial"/>
          <w:sz w:val="20"/>
          <w:szCs w:val="20"/>
        </w:rPr>
        <w:t xml:space="preserve"> pero,</w:t>
      </w:r>
      <w:r w:rsidR="00C36335">
        <w:rPr>
          <w:rFonts w:cs="Arial"/>
          <w:sz w:val="20"/>
          <w:szCs w:val="20"/>
        </w:rPr>
        <w:t xml:space="preserve"> por ahora</w:t>
      </w:r>
      <w:r w:rsidR="001E0CA4">
        <w:rPr>
          <w:rFonts w:cs="Arial"/>
          <w:sz w:val="20"/>
          <w:szCs w:val="20"/>
        </w:rPr>
        <w:t>,</w:t>
      </w:r>
      <w:r w:rsidR="00C36335">
        <w:rPr>
          <w:rFonts w:cs="Arial"/>
          <w:sz w:val="20"/>
          <w:szCs w:val="20"/>
        </w:rPr>
        <w:t xml:space="preserve"> no se visualiza en los </w:t>
      </w:r>
      <w:r w:rsidR="00DC784B">
        <w:rPr>
          <w:rFonts w:cs="Arial"/>
          <w:sz w:val="20"/>
          <w:szCs w:val="20"/>
        </w:rPr>
        <w:t xml:space="preserve">indicadores </w:t>
      </w:r>
      <w:r w:rsidR="002E1237">
        <w:rPr>
          <w:rFonts w:cs="Arial"/>
          <w:sz w:val="20"/>
          <w:szCs w:val="20"/>
        </w:rPr>
        <w:t xml:space="preserve">líderes </w:t>
      </w:r>
      <w:r w:rsidR="00C36335">
        <w:rPr>
          <w:rFonts w:cs="Arial"/>
          <w:sz w:val="20"/>
          <w:szCs w:val="20"/>
        </w:rPr>
        <w:t xml:space="preserve">de actividad </w:t>
      </w:r>
      <w:r w:rsidR="00242C47">
        <w:rPr>
          <w:rFonts w:cs="Arial"/>
          <w:sz w:val="20"/>
          <w:szCs w:val="20"/>
        </w:rPr>
        <w:t>u</w:t>
      </w:r>
      <w:r w:rsidR="00DC784B">
        <w:rPr>
          <w:rFonts w:cs="Arial"/>
          <w:sz w:val="20"/>
          <w:szCs w:val="20"/>
        </w:rPr>
        <w:t xml:space="preserve">n cambio </w:t>
      </w:r>
      <w:r w:rsidR="00631A6C">
        <w:rPr>
          <w:rFonts w:cs="Arial"/>
          <w:sz w:val="20"/>
          <w:szCs w:val="20"/>
        </w:rPr>
        <w:t xml:space="preserve">contundente </w:t>
      </w:r>
      <w:r w:rsidR="00DC784B">
        <w:rPr>
          <w:rFonts w:cs="Arial"/>
          <w:sz w:val="20"/>
          <w:szCs w:val="20"/>
        </w:rPr>
        <w:t xml:space="preserve">de </w:t>
      </w:r>
      <w:r w:rsidR="002E1237">
        <w:rPr>
          <w:rFonts w:cs="Arial"/>
          <w:sz w:val="20"/>
          <w:szCs w:val="20"/>
        </w:rPr>
        <w:t>rumbo</w:t>
      </w:r>
      <w:r w:rsidR="001E0CA4">
        <w:rPr>
          <w:rFonts w:cs="Arial"/>
          <w:sz w:val="20"/>
          <w:szCs w:val="20"/>
        </w:rPr>
        <w:t xml:space="preserve"> como para alcanzar esa aspiración</w:t>
      </w:r>
      <w:r w:rsidR="00C36335">
        <w:rPr>
          <w:rFonts w:cs="Arial"/>
          <w:sz w:val="20"/>
          <w:szCs w:val="20"/>
        </w:rPr>
        <w:t xml:space="preserve">. Esto es especialmente preocupante cuando existe </w:t>
      </w:r>
      <w:r w:rsidR="001E0CA4">
        <w:rPr>
          <w:rFonts w:cs="Arial"/>
          <w:sz w:val="20"/>
          <w:szCs w:val="20"/>
        </w:rPr>
        <w:t xml:space="preserve">- </w:t>
      </w:r>
      <w:r w:rsidR="00C36335">
        <w:rPr>
          <w:rFonts w:cs="Arial"/>
          <w:sz w:val="20"/>
          <w:szCs w:val="20"/>
        </w:rPr>
        <w:t>de por medio</w:t>
      </w:r>
      <w:r w:rsidR="001E0CA4">
        <w:rPr>
          <w:rFonts w:cs="Arial"/>
          <w:sz w:val="20"/>
          <w:szCs w:val="20"/>
        </w:rPr>
        <w:t xml:space="preserve"> -</w:t>
      </w:r>
      <w:r w:rsidR="00C36335">
        <w:rPr>
          <w:rFonts w:cs="Arial"/>
          <w:sz w:val="20"/>
          <w:szCs w:val="20"/>
        </w:rPr>
        <w:t xml:space="preserve"> un ahorro que estimamos de</w:t>
      </w:r>
      <w:r w:rsidR="001E0CA4">
        <w:rPr>
          <w:rFonts w:cs="Arial"/>
          <w:sz w:val="20"/>
          <w:szCs w:val="20"/>
        </w:rPr>
        <w:t>,</w:t>
      </w:r>
      <w:r w:rsidR="00242C47">
        <w:rPr>
          <w:rFonts w:cs="Arial"/>
          <w:sz w:val="20"/>
          <w:szCs w:val="20"/>
        </w:rPr>
        <w:t xml:space="preserve"> por lo menos</w:t>
      </w:r>
      <w:r w:rsidR="001E0CA4">
        <w:rPr>
          <w:rFonts w:cs="Arial"/>
          <w:sz w:val="20"/>
          <w:szCs w:val="20"/>
        </w:rPr>
        <w:t>,</w:t>
      </w:r>
      <w:r w:rsidR="00C36335">
        <w:rPr>
          <w:rFonts w:cs="Arial"/>
          <w:sz w:val="20"/>
          <w:szCs w:val="20"/>
        </w:rPr>
        <w:t xml:space="preserve"> US$ 3</w:t>
      </w:r>
      <w:r w:rsidR="00B12461">
        <w:rPr>
          <w:rFonts w:cs="Arial"/>
          <w:sz w:val="20"/>
          <w:szCs w:val="20"/>
        </w:rPr>
        <w:t>,5</w:t>
      </w:r>
      <w:r w:rsidR="00C36335">
        <w:rPr>
          <w:rFonts w:cs="Arial"/>
          <w:sz w:val="20"/>
          <w:szCs w:val="20"/>
        </w:rPr>
        <w:t xml:space="preserve"> mil millones </w:t>
      </w:r>
      <w:r w:rsidR="001E0CA4">
        <w:rPr>
          <w:rFonts w:cs="Arial"/>
          <w:sz w:val="20"/>
          <w:szCs w:val="20"/>
        </w:rPr>
        <w:t xml:space="preserve">debido a </w:t>
      </w:r>
      <w:r w:rsidR="00C36335">
        <w:rPr>
          <w:rFonts w:cs="Arial"/>
          <w:sz w:val="20"/>
          <w:szCs w:val="20"/>
        </w:rPr>
        <w:t>la caída en el precio del petróleo para 2015</w:t>
      </w:r>
      <w:r w:rsidR="00242C47">
        <w:rPr>
          <w:rFonts w:cs="Arial"/>
          <w:sz w:val="20"/>
          <w:szCs w:val="20"/>
        </w:rPr>
        <w:t>,</w:t>
      </w:r>
      <w:r w:rsidR="00C36335">
        <w:rPr>
          <w:rFonts w:cs="Arial"/>
          <w:sz w:val="20"/>
          <w:szCs w:val="20"/>
        </w:rPr>
        <w:t xml:space="preserve"> </w:t>
      </w:r>
      <w:r w:rsidR="001E0CA4">
        <w:rPr>
          <w:rFonts w:cs="Arial"/>
          <w:sz w:val="20"/>
          <w:szCs w:val="20"/>
        </w:rPr>
        <w:t xml:space="preserve">además de </w:t>
      </w:r>
      <w:r w:rsidR="00C36335">
        <w:rPr>
          <w:rFonts w:cs="Arial"/>
          <w:sz w:val="20"/>
          <w:szCs w:val="20"/>
        </w:rPr>
        <w:t xml:space="preserve">una política fiscal </w:t>
      </w:r>
      <w:r w:rsidR="00B12461">
        <w:rPr>
          <w:rFonts w:cs="Arial"/>
          <w:sz w:val="20"/>
          <w:szCs w:val="20"/>
        </w:rPr>
        <w:t>anti cíclica</w:t>
      </w:r>
      <w:r w:rsidR="00344B69">
        <w:rPr>
          <w:rFonts w:cs="Arial"/>
          <w:sz w:val="20"/>
          <w:szCs w:val="20"/>
        </w:rPr>
        <w:t xml:space="preserve">, extraordinariamente </w:t>
      </w:r>
      <w:r w:rsidR="00C36335">
        <w:rPr>
          <w:rFonts w:cs="Arial"/>
          <w:sz w:val="20"/>
          <w:szCs w:val="20"/>
        </w:rPr>
        <w:t>expansiva, especialmente en el ámbito de la inversión</w:t>
      </w:r>
      <w:r w:rsidR="00861208">
        <w:rPr>
          <w:rFonts w:cs="Arial"/>
          <w:sz w:val="20"/>
          <w:szCs w:val="20"/>
        </w:rPr>
        <w:t>,</w:t>
      </w:r>
      <w:r w:rsidR="00242C47">
        <w:rPr>
          <w:rFonts w:cs="Arial"/>
          <w:sz w:val="20"/>
          <w:szCs w:val="20"/>
        </w:rPr>
        <w:t xml:space="preserve"> y una política monetaria también expansiva</w:t>
      </w:r>
      <w:r w:rsidR="00861208">
        <w:rPr>
          <w:rFonts w:cs="Arial"/>
          <w:sz w:val="20"/>
          <w:szCs w:val="20"/>
        </w:rPr>
        <w:t>.</w:t>
      </w:r>
    </w:p>
    <w:p w:rsidR="00631A6C" w:rsidRDefault="00631A6C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Lograr un crecimiento de 3% en el segundo semestre de 2015 significaría</w:t>
      </w:r>
      <w:r w:rsidR="00861208">
        <w:rPr>
          <w:rFonts w:cs="Arial"/>
          <w:sz w:val="20"/>
          <w:szCs w:val="20"/>
        </w:rPr>
        <w:t xml:space="preserve"> además</w:t>
      </w:r>
      <w:r>
        <w:rPr>
          <w:rFonts w:cs="Arial"/>
          <w:sz w:val="20"/>
          <w:szCs w:val="20"/>
        </w:rPr>
        <w:t xml:space="preserve"> remontar la trayectoria por sobre los registros de los últimos dos años</w:t>
      </w:r>
      <w:r w:rsidR="00B12461">
        <w:rPr>
          <w:rFonts w:cs="Arial"/>
          <w:sz w:val="20"/>
          <w:szCs w:val="20"/>
        </w:rPr>
        <w:t>, ya que desde el cuarto trimestre de 2013</w:t>
      </w:r>
      <w:r w:rsidR="001E0CA4">
        <w:rPr>
          <w:rFonts w:cs="Arial"/>
          <w:sz w:val="20"/>
          <w:szCs w:val="20"/>
        </w:rPr>
        <w:t xml:space="preserve">, </w:t>
      </w:r>
      <w:r w:rsidR="00B12461">
        <w:rPr>
          <w:rFonts w:cs="Arial"/>
          <w:sz w:val="20"/>
          <w:szCs w:val="20"/>
        </w:rPr>
        <w:t xml:space="preserve"> </w:t>
      </w:r>
      <w:r w:rsidR="002A53FA">
        <w:rPr>
          <w:rFonts w:cs="Arial"/>
          <w:sz w:val="20"/>
          <w:szCs w:val="20"/>
        </w:rPr>
        <w:t xml:space="preserve">la economía chilena ha </w:t>
      </w:r>
      <w:r w:rsidR="00242C47">
        <w:rPr>
          <w:rFonts w:cs="Arial"/>
          <w:sz w:val="20"/>
          <w:szCs w:val="20"/>
        </w:rPr>
        <w:t xml:space="preserve">tenido </w:t>
      </w:r>
      <w:r w:rsidR="002A53FA">
        <w:rPr>
          <w:rFonts w:cs="Arial"/>
          <w:sz w:val="20"/>
          <w:szCs w:val="20"/>
        </w:rPr>
        <w:t>un</w:t>
      </w:r>
      <w:r>
        <w:rPr>
          <w:rFonts w:cs="Arial"/>
          <w:sz w:val="20"/>
          <w:szCs w:val="20"/>
        </w:rPr>
        <w:t xml:space="preserve"> crecimiento </w:t>
      </w:r>
      <w:r w:rsidR="00242C47">
        <w:rPr>
          <w:rFonts w:cs="Arial"/>
          <w:sz w:val="20"/>
          <w:szCs w:val="20"/>
        </w:rPr>
        <w:t xml:space="preserve">del PIB </w:t>
      </w:r>
      <w:r w:rsidR="002A53FA">
        <w:rPr>
          <w:rFonts w:cs="Arial"/>
          <w:sz w:val="20"/>
          <w:szCs w:val="20"/>
        </w:rPr>
        <w:t xml:space="preserve">que ha sido </w:t>
      </w:r>
      <w:r>
        <w:rPr>
          <w:rFonts w:cs="Arial"/>
          <w:sz w:val="20"/>
          <w:szCs w:val="20"/>
        </w:rPr>
        <w:t>sistemáticamente</w:t>
      </w:r>
      <w:r w:rsidR="002A53F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inferior a</w:t>
      </w:r>
      <w:r w:rsidR="001E0CA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2,7%.</w:t>
      </w:r>
    </w:p>
    <w:p w:rsidR="008A4893" w:rsidRDefault="004843C5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 w:rsidRPr="004843C5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2319770</wp:posOffset>
            </wp:positionH>
            <wp:positionV relativeFrom="paragraph">
              <wp:posOffset>84455</wp:posOffset>
            </wp:positionV>
            <wp:extent cx="3674226" cy="2399163"/>
            <wp:effectExtent l="0" t="0" r="2540" b="127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226" cy="239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B7A44" w:rsidRDefault="005B7A44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861208" w:rsidRDefault="00861208" w:rsidP="00643514">
      <w:pPr>
        <w:pStyle w:val="texto"/>
        <w:spacing w:before="120" w:after="120" w:line="240" w:lineRule="auto"/>
        <w:ind w:left="567"/>
        <w:rPr>
          <w:rFonts w:cs="Arial"/>
          <w:b/>
          <w:sz w:val="20"/>
          <w:szCs w:val="20"/>
        </w:rPr>
      </w:pPr>
    </w:p>
    <w:p w:rsidR="002A53FA" w:rsidRPr="002A53FA" w:rsidRDefault="002A53FA" w:rsidP="00643514">
      <w:pPr>
        <w:pStyle w:val="texto"/>
        <w:spacing w:before="120" w:after="120" w:line="240" w:lineRule="auto"/>
        <w:ind w:left="567"/>
        <w:rPr>
          <w:rFonts w:cs="Arial"/>
          <w:b/>
          <w:sz w:val="20"/>
          <w:szCs w:val="20"/>
        </w:rPr>
      </w:pPr>
      <w:r w:rsidRPr="002A53FA">
        <w:rPr>
          <w:rFonts w:cs="Arial"/>
          <w:b/>
          <w:sz w:val="20"/>
          <w:szCs w:val="20"/>
        </w:rPr>
        <w:t xml:space="preserve">Gran debilidad en </w:t>
      </w:r>
      <w:r w:rsidR="00EB78BB">
        <w:rPr>
          <w:rFonts w:cs="Arial"/>
          <w:b/>
          <w:sz w:val="20"/>
          <w:szCs w:val="20"/>
        </w:rPr>
        <w:t xml:space="preserve">el comercio exterior y en </w:t>
      </w:r>
      <w:r>
        <w:rPr>
          <w:rFonts w:cs="Arial"/>
          <w:b/>
          <w:sz w:val="20"/>
          <w:szCs w:val="20"/>
        </w:rPr>
        <w:t>los inventarios</w:t>
      </w:r>
    </w:p>
    <w:p w:rsidR="00A06B95" w:rsidRDefault="00F12AB2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Por una parte, l</w:t>
      </w:r>
      <w:r w:rsidR="008A4893">
        <w:rPr>
          <w:rFonts w:cs="Arial"/>
          <w:sz w:val="20"/>
          <w:szCs w:val="20"/>
        </w:rPr>
        <w:t>as importaciones</w:t>
      </w:r>
      <w:r w:rsidR="00CB1C08">
        <w:rPr>
          <w:rFonts w:cs="Arial"/>
          <w:sz w:val="20"/>
          <w:szCs w:val="20"/>
        </w:rPr>
        <w:t xml:space="preserve"> de bienes, que tien</w:t>
      </w:r>
      <w:r w:rsidR="001E0CA4">
        <w:rPr>
          <w:rFonts w:cs="Arial"/>
          <w:sz w:val="20"/>
          <w:szCs w:val="20"/>
        </w:rPr>
        <w:t>d</w:t>
      </w:r>
      <w:r w:rsidR="00CB1C08">
        <w:rPr>
          <w:rFonts w:cs="Arial"/>
          <w:sz w:val="20"/>
          <w:szCs w:val="20"/>
        </w:rPr>
        <w:t xml:space="preserve">en a </w:t>
      </w:r>
      <w:r w:rsidR="001E0CA4">
        <w:rPr>
          <w:rFonts w:cs="Arial"/>
          <w:sz w:val="20"/>
          <w:szCs w:val="20"/>
        </w:rPr>
        <w:t>reflejar</w:t>
      </w:r>
      <w:r w:rsidR="00CB1C08">
        <w:rPr>
          <w:rFonts w:cs="Arial"/>
          <w:sz w:val="20"/>
          <w:szCs w:val="20"/>
        </w:rPr>
        <w:t xml:space="preserve"> las expectativas de actividad y ventas para los próximos tres a seis meses, </w:t>
      </w:r>
      <w:r w:rsidR="001E0CA4">
        <w:rPr>
          <w:rFonts w:cs="Arial"/>
          <w:sz w:val="20"/>
          <w:szCs w:val="20"/>
        </w:rPr>
        <w:t>se muestran señales muy débiles</w:t>
      </w:r>
      <w:r w:rsidR="00242C47">
        <w:rPr>
          <w:rFonts w:cs="Arial"/>
          <w:sz w:val="20"/>
          <w:szCs w:val="20"/>
        </w:rPr>
        <w:t>,</w:t>
      </w:r>
      <w:r w:rsidR="008A4893">
        <w:rPr>
          <w:rFonts w:cs="Arial"/>
          <w:sz w:val="20"/>
          <w:szCs w:val="20"/>
        </w:rPr>
        <w:t xml:space="preserve"> tanto en </w:t>
      </w:r>
      <w:r w:rsidR="00CB1C08">
        <w:rPr>
          <w:rFonts w:cs="Arial"/>
          <w:sz w:val="20"/>
          <w:szCs w:val="20"/>
        </w:rPr>
        <w:t xml:space="preserve">relación al </w:t>
      </w:r>
      <w:r w:rsidR="008A4893">
        <w:rPr>
          <w:rFonts w:cs="Arial"/>
          <w:sz w:val="20"/>
          <w:szCs w:val="20"/>
        </w:rPr>
        <w:t xml:space="preserve">gasto de los hogares, </w:t>
      </w:r>
      <w:r w:rsidR="00CB1C08">
        <w:rPr>
          <w:rFonts w:cs="Arial"/>
          <w:sz w:val="20"/>
          <w:szCs w:val="20"/>
        </w:rPr>
        <w:t xml:space="preserve">como de la </w:t>
      </w:r>
      <w:r w:rsidR="008A4893">
        <w:rPr>
          <w:rFonts w:cs="Arial"/>
          <w:sz w:val="20"/>
          <w:szCs w:val="20"/>
        </w:rPr>
        <w:t>inversión y la actividad produc</w:t>
      </w:r>
      <w:r w:rsidR="00871613">
        <w:rPr>
          <w:rFonts w:cs="Arial"/>
          <w:sz w:val="20"/>
          <w:szCs w:val="20"/>
        </w:rPr>
        <w:t>tiva.</w:t>
      </w:r>
    </w:p>
    <w:p w:rsidR="002215C3" w:rsidRDefault="00CB1C08" w:rsidP="001E0CA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En efecto, l</w:t>
      </w:r>
      <w:r w:rsidR="008A4893">
        <w:rPr>
          <w:rFonts w:cs="Arial"/>
          <w:sz w:val="20"/>
          <w:szCs w:val="20"/>
        </w:rPr>
        <w:t>as imp</w:t>
      </w:r>
      <w:r w:rsidR="00F12AB2">
        <w:rPr>
          <w:rFonts w:cs="Arial"/>
          <w:sz w:val="20"/>
          <w:szCs w:val="20"/>
        </w:rPr>
        <w:t>ortaciones de bienes de consumo se mantienen en descenso a un ritmo de dos dígitos</w:t>
      </w:r>
      <w:r w:rsidR="008566A8">
        <w:rPr>
          <w:rFonts w:cs="Arial"/>
          <w:sz w:val="20"/>
          <w:szCs w:val="20"/>
        </w:rPr>
        <w:t xml:space="preserve"> (-18% en mayo y -12% en abril)</w:t>
      </w:r>
      <w:r>
        <w:rPr>
          <w:rFonts w:cs="Arial"/>
          <w:sz w:val="20"/>
          <w:szCs w:val="20"/>
        </w:rPr>
        <w:t>, completando más de un año de cifras en rojo. Por su parte, l</w:t>
      </w:r>
      <w:r w:rsidR="00F12AB2">
        <w:rPr>
          <w:rFonts w:cs="Arial"/>
          <w:sz w:val="20"/>
          <w:szCs w:val="20"/>
        </w:rPr>
        <w:t>os inv</w:t>
      </w:r>
      <w:r w:rsidR="008566A8">
        <w:rPr>
          <w:rFonts w:cs="Arial"/>
          <w:sz w:val="20"/>
          <w:szCs w:val="20"/>
        </w:rPr>
        <w:t>entarios del comercio minorista</w:t>
      </w:r>
      <w:r w:rsidR="002215C3">
        <w:rPr>
          <w:rStyle w:val="Refdenotaalpie"/>
          <w:rFonts w:cs="Arial"/>
          <w:sz w:val="20"/>
          <w:szCs w:val="20"/>
        </w:rPr>
        <w:footnoteReference w:id="1"/>
      </w:r>
      <w:r w:rsidR="008566A8">
        <w:rPr>
          <w:rFonts w:cs="Arial"/>
          <w:sz w:val="20"/>
          <w:szCs w:val="20"/>
        </w:rPr>
        <w:t xml:space="preserve"> aún no dan señales de haber</w:t>
      </w:r>
      <w:r w:rsidR="00135B9E">
        <w:rPr>
          <w:rFonts w:cs="Arial"/>
          <w:sz w:val="20"/>
          <w:szCs w:val="20"/>
        </w:rPr>
        <w:t xml:space="preserve"> completado su ajuste</w:t>
      </w:r>
      <w:r>
        <w:rPr>
          <w:rFonts w:cs="Arial"/>
          <w:sz w:val="20"/>
          <w:szCs w:val="20"/>
        </w:rPr>
        <w:t xml:space="preserve">, </w:t>
      </w:r>
      <w:r w:rsidR="001E0CA4">
        <w:rPr>
          <w:rFonts w:cs="Arial"/>
          <w:sz w:val="20"/>
          <w:szCs w:val="20"/>
        </w:rPr>
        <w:t>con signos</w:t>
      </w:r>
      <w:r>
        <w:rPr>
          <w:rFonts w:cs="Arial"/>
          <w:sz w:val="20"/>
          <w:szCs w:val="20"/>
        </w:rPr>
        <w:t xml:space="preserve"> de expectativas que aún se mantienen en </w:t>
      </w:r>
      <w:r w:rsidR="00A06B95">
        <w:rPr>
          <w:rFonts w:cs="Arial"/>
          <w:sz w:val="20"/>
          <w:szCs w:val="20"/>
        </w:rPr>
        <w:t xml:space="preserve">estado de gran </w:t>
      </w:r>
      <w:r>
        <w:rPr>
          <w:rFonts w:cs="Arial"/>
          <w:sz w:val="20"/>
          <w:szCs w:val="20"/>
        </w:rPr>
        <w:t xml:space="preserve">cautela. </w:t>
      </w:r>
      <w:r w:rsidR="00A06B95">
        <w:rPr>
          <w:rFonts w:cs="Arial"/>
          <w:sz w:val="20"/>
          <w:szCs w:val="20"/>
        </w:rPr>
        <w:t>El índi</w:t>
      </w:r>
      <w:r w:rsidR="00135B9E">
        <w:rPr>
          <w:rFonts w:cs="Arial"/>
          <w:sz w:val="20"/>
          <w:szCs w:val="20"/>
        </w:rPr>
        <w:t xml:space="preserve">ce de inventarios </w:t>
      </w:r>
      <w:r w:rsidR="001E0CA4">
        <w:rPr>
          <w:rFonts w:cs="Arial"/>
          <w:sz w:val="20"/>
          <w:szCs w:val="20"/>
        </w:rPr>
        <w:t xml:space="preserve">- </w:t>
      </w:r>
      <w:r w:rsidR="00135B9E">
        <w:rPr>
          <w:rFonts w:cs="Arial"/>
          <w:sz w:val="20"/>
          <w:szCs w:val="20"/>
        </w:rPr>
        <w:t>que excluye el</w:t>
      </w:r>
      <w:r w:rsidR="00A06B95">
        <w:rPr>
          <w:rFonts w:cs="Arial"/>
          <w:sz w:val="20"/>
          <w:szCs w:val="20"/>
        </w:rPr>
        <w:t xml:space="preserve"> comercio automotriz</w:t>
      </w:r>
      <w:r w:rsidR="001E0CA4">
        <w:rPr>
          <w:rFonts w:cs="Arial"/>
          <w:sz w:val="20"/>
          <w:szCs w:val="20"/>
        </w:rPr>
        <w:t xml:space="preserve"> -</w:t>
      </w:r>
      <w:r w:rsidR="00A06B95">
        <w:rPr>
          <w:rFonts w:cs="Arial"/>
          <w:sz w:val="20"/>
          <w:szCs w:val="20"/>
        </w:rPr>
        <w:t xml:space="preserve"> dejó de crecer a las tasas de 15% observadas </w:t>
      </w:r>
      <w:r w:rsidR="002215C3">
        <w:rPr>
          <w:rFonts w:cs="Arial"/>
          <w:sz w:val="20"/>
          <w:szCs w:val="20"/>
        </w:rPr>
        <w:t xml:space="preserve">en el primer semestre de 2014 y </w:t>
      </w:r>
      <w:r w:rsidR="00A06B95">
        <w:rPr>
          <w:rFonts w:cs="Arial"/>
          <w:sz w:val="20"/>
          <w:szCs w:val="20"/>
        </w:rPr>
        <w:t>actualmente presenta un panorama de total estancamiento</w:t>
      </w:r>
      <w:r w:rsidR="002215C3">
        <w:rPr>
          <w:rFonts w:cs="Arial"/>
          <w:sz w:val="20"/>
          <w:szCs w:val="20"/>
        </w:rPr>
        <w:t xml:space="preserve"> (-0,5% en abril)</w:t>
      </w:r>
      <w:r w:rsidR="00A06B95">
        <w:rPr>
          <w:rFonts w:cs="Arial"/>
          <w:sz w:val="20"/>
          <w:szCs w:val="20"/>
        </w:rPr>
        <w:t xml:space="preserve">. Los inventarios de comercio automotriz, que crecían también a un ritmo de 15% en el primer semestre de 2014, </w:t>
      </w:r>
      <w:r w:rsidR="00135B9E">
        <w:rPr>
          <w:rFonts w:cs="Arial"/>
          <w:sz w:val="20"/>
          <w:szCs w:val="20"/>
        </w:rPr>
        <w:t>acumulan</w:t>
      </w:r>
      <w:r w:rsidR="00A06B95">
        <w:rPr>
          <w:rFonts w:cs="Arial"/>
          <w:sz w:val="20"/>
          <w:szCs w:val="20"/>
        </w:rPr>
        <w:t xml:space="preserve"> seis trimestres consecutivos de descensos</w:t>
      </w:r>
      <w:r w:rsidR="002215C3">
        <w:rPr>
          <w:rFonts w:cs="Arial"/>
          <w:sz w:val="20"/>
          <w:szCs w:val="20"/>
        </w:rPr>
        <w:t xml:space="preserve"> (-4,5% en abril)</w:t>
      </w:r>
      <w:r w:rsidR="00A06B95">
        <w:rPr>
          <w:rFonts w:cs="Arial"/>
          <w:sz w:val="20"/>
          <w:szCs w:val="20"/>
        </w:rPr>
        <w:t>.</w:t>
      </w:r>
    </w:p>
    <w:p w:rsidR="0064502D" w:rsidRDefault="002215C3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Las importaciones de bienes de capital</w:t>
      </w:r>
      <w:r w:rsidR="00135B9E">
        <w:rPr>
          <w:rFonts w:cs="Arial"/>
          <w:sz w:val="20"/>
          <w:szCs w:val="20"/>
        </w:rPr>
        <w:t>, en tanto,</w:t>
      </w:r>
      <w:r>
        <w:rPr>
          <w:rFonts w:cs="Arial"/>
          <w:sz w:val="20"/>
          <w:szCs w:val="20"/>
        </w:rPr>
        <w:t xml:space="preserve"> completaron </w:t>
      </w:r>
      <w:r w:rsidR="00FD1EF6">
        <w:rPr>
          <w:rFonts w:cs="Arial"/>
          <w:sz w:val="20"/>
          <w:szCs w:val="20"/>
        </w:rPr>
        <w:t>en mayo dos años de descenso</w:t>
      </w:r>
      <w:r w:rsidR="001E0CA4">
        <w:rPr>
          <w:rFonts w:cs="Arial"/>
          <w:sz w:val="20"/>
          <w:szCs w:val="20"/>
        </w:rPr>
        <w:t>s</w:t>
      </w:r>
      <w:r w:rsidR="00FD1EF6">
        <w:rPr>
          <w:rFonts w:cs="Arial"/>
          <w:sz w:val="20"/>
          <w:szCs w:val="20"/>
        </w:rPr>
        <w:t xml:space="preserve"> </w:t>
      </w:r>
      <w:r w:rsidR="00135B9E">
        <w:rPr>
          <w:rFonts w:cs="Arial"/>
          <w:sz w:val="20"/>
          <w:szCs w:val="20"/>
        </w:rPr>
        <w:t xml:space="preserve">prácticamente </w:t>
      </w:r>
      <w:r w:rsidR="00FD1EF6">
        <w:rPr>
          <w:rFonts w:cs="Arial"/>
          <w:sz w:val="20"/>
          <w:szCs w:val="20"/>
        </w:rPr>
        <w:t>ininterrumpido</w:t>
      </w:r>
      <w:r w:rsidR="00CB1ECA">
        <w:rPr>
          <w:rFonts w:cs="Arial"/>
          <w:sz w:val="20"/>
          <w:szCs w:val="20"/>
        </w:rPr>
        <w:t>s</w:t>
      </w:r>
      <w:r w:rsidR="00135B9E">
        <w:rPr>
          <w:rFonts w:cs="Arial"/>
          <w:sz w:val="20"/>
          <w:szCs w:val="20"/>
        </w:rPr>
        <w:t>,</w:t>
      </w:r>
      <w:r w:rsidR="00102032">
        <w:rPr>
          <w:rFonts w:cs="Arial"/>
          <w:sz w:val="20"/>
          <w:szCs w:val="20"/>
        </w:rPr>
        <w:t xml:space="preserve"> a una tasa media de </w:t>
      </w:r>
      <w:r w:rsidR="00F97DED">
        <w:rPr>
          <w:rFonts w:cs="Arial"/>
          <w:sz w:val="20"/>
          <w:szCs w:val="20"/>
        </w:rPr>
        <w:t xml:space="preserve">aproximadamente </w:t>
      </w:r>
      <w:r w:rsidR="00135B9E">
        <w:rPr>
          <w:rFonts w:cs="Arial"/>
          <w:sz w:val="20"/>
          <w:szCs w:val="20"/>
        </w:rPr>
        <w:t>-</w:t>
      </w:r>
      <w:r w:rsidR="00102032">
        <w:rPr>
          <w:rFonts w:cs="Arial"/>
          <w:sz w:val="20"/>
          <w:szCs w:val="20"/>
        </w:rPr>
        <w:t xml:space="preserve">20%. </w:t>
      </w:r>
      <w:r w:rsidR="00CB1ECA">
        <w:rPr>
          <w:rFonts w:cs="Arial"/>
          <w:sz w:val="20"/>
          <w:szCs w:val="20"/>
        </w:rPr>
        <w:t>En particular, e</w:t>
      </w:r>
      <w:r w:rsidR="00102032">
        <w:rPr>
          <w:rFonts w:cs="Arial"/>
          <w:sz w:val="20"/>
          <w:szCs w:val="20"/>
        </w:rPr>
        <w:t xml:space="preserve">l </w:t>
      </w:r>
      <w:r w:rsidR="00F97DED">
        <w:rPr>
          <w:rFonts w:cs="Arial"/>
          <w:sz w:val="20"/>
          <w:szCs w:val="20"/>
        </w:rPr>
        <w:t xml:space="preserve">retroceso </w:t>
      </w:r>
      <w:r w:rsidR="00102032">
        <w:rPr>
          <w:rFonts w:cs="Arial"/>
          <w:sz w:val="20"/>
          <w:szCs w:val="20"/>
        </w:rPr>
        <w:t>observa</w:t>
      </w:r>
      <w:r w:rsidR="00F97DED">
        <w:rPr>
          <w:rFonts w:cs="Arial"/>
          <w:sz w:val="20"/>
          <w:szCs w:val="20"/>
        </w:rPr>
        <w:t xml:space="preserve">do en mayo último </w:t>
      </w:r>
      <w:r w:rsidR="00102032">
        <w:rPr>
          <w:rFonts w:cs="Arial"/>
          <w:sz w:val="20"/>
          <w:szCs w:val="20"/>
        </w:rPr>
        <w:t xml:space="preserve">fue de -26% y las proyecciones apuntan a que recién hacia el cuarto trimestre podrían observarse </w:t>
      </w:r>
      <w:r w:rsidR="00F97DED">
        <w:rPr>
          <w:rFonts w:cs="Arial"/>
          <w:sz w:val="20"/>
          <w:szCs w:val="20"/>
        </w:rPr>
        <w:t xml:space="preserve">cifras </w:t>
      </w:r>
      <w:r w:rsidR="00102032">
        <w:rPr>
          <w:rFonts w:cs="Arial"/>
          <w:sz w:val="20"/>
          <w:szCs w:val="20"/>
        </w:rPr>
        <w:t xml:space="preserve">marginalmente positivas, apoyadas </w:t>
      </w:r>
      <w:r w:rsidR="002A53FA">
        <w:rPr>
          <w:rFonts w:cs="Arial"/>
          <w:sz w:val="20"/>
          <w:szCs w:val="20"/>
        </w:rPr>
        <w:t xml:space="preserve">por el efecto </w:t>
      </w:r>
      <w:r w:rsidR="00102032">
        <w:rPr>
          <w:rFonts w:cs="Arial"/>
          <w:sz w:val="20"/>
          <w:szCs w:val="20"/>
        </w:rPr>
        <w:t>de bajísimas bases de comparación. Según el Informe de Percepción de Negocios de Mayo</w:t>
      </w:r>
      <w:r w:rsidR="00CB1ECA">
        <w:rPr>
          <w:rFonts w:cs="Arial"/>
          <w:sz w:val="20"/>
          <w:szCs w:val="20"/>
        </w:rPr>
        <w:t>,</w:t>
      </w:r>
      <w:r w:rsidR="00102032">
        <w:rPr>
          <w:rFonts w:cs="Arial"/>
          <w:sz w:val="20"/>
          <w:szCs w:val="20"/>
        </w:rPr>
        <w:t xml:space="preserve"> preparado por el</w:t>
      </w:r>
      <w:r w:rsidR="00F97DED">
        <w:rPr>
          <w:rFonts w:cs="Arial"/>
          <w:sz w:val="20"/>
          <w:szCs w:val="20"/>
        </w:rPr>
        <w:t xml:space="preserve"> </w:t>
      </w:r>
      <w:r w:rsidR="00135B9E">
        <w:rPr>
          <w:rFonts w:cs="Arial"/>
          <w:sz w:val="20"/>
          <w:szCs w:val="20"/>
        </w:rPr>
        <w:t>Banco Central</w:t>
      </w:r>
      <w:r w:rsidR="00F97DED">
        <w:rPr>
          <w:rFonts w:cs="Arial"/>
          <w:sz w:val="20"/>
          <w:szCs w:val="20"/>
        </w:rPr>
        <w:t xml:space="preserve">, </w:t>
      </w:r>
      <w:r w:rsidR="00102032">
        <w:rPr>
          <w:rFonts w:cs="Arial"/>
          <w:sz w:val="20"/>
          <w:szCs w:val="20"/>
        </w:rPr>
        <w:t>los planes de negocios de las empresas se concentrarían básicamente en reposición de capital, lo mismo q</w:t>
      </w:r>
      <w:r w:rsidR="00F97DED">
        <w:rPr>
          <w:rFonts w:cs="Arial"/>
          <w:sz w:val="20"/>
          <w:szCs w:val="20"/>
        </w:rPr>
        <w:t xml:space="preserve">ue </w:t>
      </w:r>
      <w:r w:rsidR="00CB1ECA">
        <w:rPr>
          <w:rFonts w:cs="Arial"/>
          <w:sz w:val="20"/>
          <w:szCs w:val="20"/>
        </w:rPr>
        <w:t xml:space="preserve">sucedió </w:t>
      </w:r>
      <w:r w:rsidR="00F97DED">
        <w:rPr>
          <w:rFonts w:cs="Arial"/>
          <w:sz w:val="20"/>
          <w:szCs w:val="20"/>
        </w:rPr>
        <w:t>en 2014, sugiriendo que el panorama de expectativas empresariales se mantiene muy débil</w:t>
      </w:r>
      <w:r w:rsidR="00CB1ECA">
        <w:rPr>
          <w:rFonts w:cs="Arial"/>
          <w:sz w:val="20"/>
          <w:szCs w:val="20"/>
        </w:rPr>
        <w:t xml:space="preserve"> y</w:t>
      </w:r>
      <w:r w:rsidR="00F97DED">
        <w:rPr>
          <w:rFonts w:cs="Arial"/>
          <w:sz w:val="20"/>
          <w:szCs w:val="20"/>
        </w:rPr>
        <w:t xml:space="preserve"> sin dar pie a inversiones más agresivas que promuevan el crecimiento a escala.</w:t>
      </w:r>
      <w:r w:rsidR="00102032">
        <w:rPr>
          <w:rFonts w:cs="Arial"/>
          <w:sz w:val="20"/>
          <w:szCs w:val="20"/>
        </w:rPr>
        <w:t xml:space="preserve"> </w:t>
      </w:r>
    </w:p>
    <w:p w:rsidR="00102032" w:rsidRDefault="002A53FA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 w:rsidRPr="00102032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74930</wp:posOffset>
            </wp:positionV>
            <wp:extent cx="2885440" cy="26136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6B9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67310</wp:posOffset>
            </wp:positionV>
            <wp:extent cx="3000375" cy="259842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59E" w:rsidRDefault="007E559E" w:rsidP="00643514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9B276E" w:rsidRDefault="009B276E" w:rsidP="009B276E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EE3E02" w:rsidRDefault="00EE3E02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F97DED" w:rsidRDefault="00F97DED" w:rsidP="00AE1BB8">
      <w:pPr>
        <w:pStyle w:val="texto"/>
        <w:spacing w:before="120" w:after="120" w:line="240" w:lineRule="auto"/>
        <w:rPr>
          <w:rFonts w:cs="Arial"/>
          <w:sz w:val="20"/>
          <w:szCs w:val="20"/>
        </w:rPr>
      </w:pPr>
    </w:p>
    <w:p w:rsidR="00AE1BB8" w:rsidRDefault="00AE1BB8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E1BB8" w:rsidRPr="00F338CD" w:rsidRDefault="00F97DED" w:rsidP="00F338CD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Las exportaciones</w:t>
      </w:r>
      <w:r w:rsidR="00135B9E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</w:t>
      </w:r>
      <w:r w:rsidR="00DC3E05">
        <w:rPr>
          <w:rFonts w:cs="Arial"/>
          <w:sz w:val="20"/>
          <w:szCs w:val="20"/>
        </w:rPr>
        <w:t xml:space="preserve">por su parte, han tenido un comportamiento muy por debajo de lo esperado, pese al importante aumento del tipo de cambio. </w:t>
      </w:r>
      <w:r w:rsidR="00DD6FAB">
        <w:rPr>
          <w:rFonts w:cs="Arial"/>
          <w:sz w:val="20"/>
          <w:szCs w:val="20"/>
        </w:rPr>
        <w:t>A comienzos de año se proyectaba una expansión de las exportaciones superior a un 3% en 2015, lo cual también ha sido sistem</w:t>
      </w:r>
      <w:r w:rsidR="00135B9E">
        <w:rPr>
          <w:rFonts w:cs="Arial"/>
          <w:sz w:val="20"/>
          <w:szCs w:val="20"/>
        </w:rPr>
        <w:t>áticamente recortado a la baja.</w:t>
      </w:r>
    </w:p>
    <w:p w:rsidR="006E6120" w:rsidRDefault="00D91556" w:rsidP="006B4113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El deterioro de las exportaciones ha venido por partida triple. </w:t>
      </w:r>
      <w:r w:rsidR="00106652">
        <w:rPr>
          <w:rFonts w:cs="Arial"/>
          <w:sz w:val="20"/>
          <w:szCs w:val="20"/>
        </w:rPr>
        <w:t>El</w:t>
      </w:r>
      <w:r w:rsidR="00AB69FD">
        <w:rPr>
          <w:rFonts w:cs="Arial"/>
          <w:sz w:val="20"/>
          <w:szCs w:val="20"/>
        </w:rPr>
        <w:t xml:space="preserve"> ciclo de debilitamiento en los precios de los productos básicos ha</w:t>
      </w:r>
      <w:r w:rsidR="00106652">
        <w:rPr>
          <w:rFonts w:cs="Arial"/>
          <w:sz w:val="20"/>
          <w:szCs w:val="20"/>
        </w:rPr>
        <w:t xml:space="preserve"> afectado el valor de los embarques m</w:t>
      </w:r>
      <w:r w:rsidR="006E6120">
        <w:rPr>
          <w:rFonts w:cs="Arial"/>
          <w:sz w:val="20"/>
          <w:szCs w:val="20"/>
        </w:rPr>
        <w:t>ineros, pesqueros y forestales.</w:t>
      </w:r>
    </w:p>
    <w:p w:rsidR="006B4113" w:rsidRDefault="00106652" w:rsidP="006B4113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Por otra parte, la debilidad </w:t>
      </w:r>
      <w:r w:rsidR="00CB1ECA">
        <w:rPr>
          <w:rFonts w:cs="Arial"/>
          <w:sz w:val="20"/>
          <w:szCs w:val="20"/>
        </w:rPr>
        <w:t xml:space="preserve">en las economías </w:t>
      </w:r>
      <w:r>
        <w:rPr>
          <w:rFonts w:cs="Arial"/>
          <w:sz w:val="20"/>
          <w:szCs w:val="20"/>
        </w:rPr>
        <w:t xml:space="preserve">de importantes socios comerciales de Chile, como es el caso de China, Japón, Francia y Brasil, </w:t>
      </w:r>
      <w:r w:rsidR="00766124">
        <w:rPr>
          <w:rFonts w:cs="Arial"/>
          <w:sz w:val="20"/>
          <w:szCs w:val="20"/>
        </w:rPr>
        <w:t>ha</w:t>
      </w:r>
      <w:r w:rsidR="00AB69FD">
        <w:rPr>
          <w:rFonts w:cs="Arial"/>
          <w:sz w:val="20"/>
          <w:szCs w:val="20"/>
        </w:rPr>
        <w:t xml:space="preserve"> dificultado la labor de acelerar </w:t>
      </w:r>
      <w:r>
        <w:rPr>
          <w:rFonts w:cs="Arial"/>
          <w:sz w:val="20"/>
          <w:szCs w:val="20"/>
        </w:rPr>
        <w:t>los quantum exportados</w:t>
      </w:r>
      <w:r w:rsidR="00AB69FD">
        <w:rPr>
          <w:rFonts w:cs="Arial"/>
          <w:sz w:val="20"/>
          <w:szCs w:val="20"/>
        </w:rPr>
        <w:t xml:space="preserve"> en el contexto de </w:t>
      </w:r>
      <w:r w:rsidR="00766124">
        <w:rPr>
          <w:rFonts w:cs="Arial"/>
          <w:sz w:val="20"/>
          <w:szCs w:val="20"/>
        </w:rPr>
        <w:t xml:space="preserve">un </w:t>
      </w:r>
      <w:r w:rsidR="00AB69FD">
        <w:rPr>
          <w:rFonts w:cs="Arial"/>
          <w:sz w:val="20"/>
          <w:szCs w:val="20"/>
        </w:rPr>
        <w:t>mayor tipo de cambio</w:t>
      </w:r>
      <w:r w:rsidR="006B4113">
        <w:rPr>
          <w:rFonts w:cs="Arial"/>
          <w:sz w:val="20"/>
          <w:szCs w:val="20"/>
        </w:rPr>
        <w:t>. En efecto, alre</w:t>
      </w:r>
      <w:r w:rsidR="00391AC2">
        <w:rPr>
          <w:rFonts w:cs="Arial"/>
          <w:sz w:val="20"/>
          <w:szCs w:val="20"/>
        </w:rPr>
        <w:t>dedor d</w:t>
      </w:r>
      <w:r w:rsidR="00CB77FE">
        <w:rPr>
          <w:rFonts w:cs="Arial"/>
          <w:sz w:val="20"/>
          <w:szCs w:val="20"/>
        </w:rPr>
        <w:t xml:space="preserve">el 80% del retroceso </w:t>
      </w:r>
      <w:r w:rsidR="00391AC2">
        <w:rPr>
          <w:rFonts w:cs="Arial"/>
          <w:sz w:val="20"/>
          <w:szCs w:val="20"/>
        </w:rPr>
        <w:t xml:space="preserve">en los montos exportados de </w:t>
      </w:r>
      <w:r w:rsidR="00CB77FE">
        <w:rPr>
          <w:rFonts w:cs="Arial"/>
          <w:sz w:val="20"/>
          <w:szCs w:val="20"/>
        </w:rPr>
        <w:t xml:space="preserve">concentra en </w:t>
      </w:r>
      <w:r w:rsidR="006B4113">
        <w:rPr>
          <w:rFonts w:cs="Arial"/>
          <w:sz w:val="20"/>
          <w:szCs w:val="20"/>
        </w:rPr>
        <w:t xml:space="preserve">esos cuatro países. </w:t>
      </w:r>
      <w:r w:rsidR="00CB1ECA">
        <w:rPr>
          <w:rFonts w:cs="Arial"/>
          <w:sz w:val="20"/>
          <w:szCs w:val="20"/>
        </w:rPr>
        <w:t>Cabe agregar que</w:t>
      </w:r>
      <w:r w:rsidR="00DA570A">
        <w:rPr>
          <w:rFonts w:cs="Arial"/>
          <w:sz w:val="20"/>
          <w:szCs w:val="20"/>
        </w:rPr>
        <w:t xml:space="preserve"> la misma debilidad en los embarques </w:t>
      </w:r>
      <w:r w:rsidR="00820F48">
        <w:rPr>
          <w:rFonts w:cs="Arial"/>
          <w:sz w:val="20"/>
          <w:szCs w:val="20"/>
        </w:rPr>
        <w:t xml:space="preserve">exportados </w:t>
      </w:r>
      <w:r w:rsidR="00DA570A">
        <w:rPr>
          <w:rFonts w:cs="Arial"/>
          <w:sz w:val="20"/>
          <w:szCs w:val="20"/>
        </w:rPr>
        <w:t xml:space="preserve">ha terminado también afectando las exportaciones de servicios, básicamente servicios de transportes (fletes, entre ellos). En 2014 estas exportaciones cayeron en 6,5% en 12 meses y en el primer trimestre de 2015, </w:t>
      </w:r>
      <w:r w:rsidR="00242C47">
        <w:rPr>
          <w:rFonts w:cs="Arial"/>
          <w:sz w:val="20"/>
          <w:szCs w:val="20"/>
        </w:rPr>
        <w:t xml:space="preserve">en </w:t>
      </w:r>
      <w:r w:rsidR="00766124">
        <w:rPr>
          <w:rFonts w:cs="Arial"/>
          <w:sz w:val="20"/>
          <w:szCs w:val="20"/>
        </w:rPr>
        <w:t>9,5%.</w:t>
      </w:r>
    </w:p>
    <w:p w:rsidR="00AE1BB8" w:rsidRDefault="006E6120" w:rsidP="00F91F08">
      <w:pPr>
        <w:pStyle w:val="texto"/>
        <w:spacing w:before="120" w:after="120" w:line="240" w:lineRule="auto"/>
        <w:ind w:left="567"/>
      </w:pPr>
      <w:r w:rsidRPr="006E23B3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3107055</wp:posOffset>
            </wp:positionH>
            <wp:positionV relativeFrom="paragraph">
              <wp:posOffset>124575</wp:posOffset>
            </wp:positionV>
            <wp:extent cx="3017520" cy="261175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520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493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121400</wp:posOffset>
            </wp:positionV>
            <wp:extent cx="2880360" cy="26136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</w:pPr>
    </w:p>
    <w:p w:rsidR="00AE1BB8" w:rsidRDefault="00AE1BB8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6E6120" w:rsidRDefault="006E6120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530879" w:rsidRDefault="00AE1BB8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mercado labor</w:t>
      </w:r>
      <w:r w:rsidR="00242C47">
        <w:rPr>
          <w:rFonts w:cs="Arial"/>
          <w:sz w:val="20"/>
          <w:szCs w:val="20"/>
        </w:rPr>
        <w:t xml:space="preserve">al, por su parte, </w:t>
      </w:r>
      <w:r w:rsidR="00FB50FC">
        <w:rPr>
          <w:rFonts w:cs="Arial"/>
          <w:sz w:val="20"/>
          <w:szCs w:val="20"/>
        </w:rPr>
        <w:t xml:space="preserve">muestra señales </w:t>
      </w:r>
      <w:r w:rsidR="00957880">
        <w:rPr>
          <w:rFonts w:cs="Arial"/>
          <w:sz w:val="20"/>
          <w:szCs w:val="20"/>
        </w:rPr>
        <w:t>mixtas</w:t>
      </w:r>
      <w:r w:rsidR="00CB1ECA">
        <w:rPr>
          <w:rFonts w:cs="Arial"/>
          <w:sz w:val="20"/>
          <w:szCs w:val="20"/>
        </w:rPr>
        <w:t xml:space="preserve">, </w:t>
      </w:r>
      <w:r w:rsidR="00B57D4E">
        <w:rPr>
          <w:rFonts w:cs="Arial"/>
          <w:sz w:val="20"/>
          <w:szCs w:val="20"/>
        </w:rPr>
        <w:t>dejan</w:t>
      </w:r>
      <w:r w:rsidR="00CB1ECA">
        <w:rPr>
          <w:rFonts w:cs="Arial"/>
          <w:sz w:val="20"/>
          <w:szCs w:val="20"/>
        </w:rPr>
        <w:t>do</w:t>
      </w:r>
      <w:r w:rsidR="00B57D4E">
        <w:rPr>
          <w:rFonts w:cs="Arial"/>
          <w:sz w:val="20"/>
          <w:szCs w:val="20"/>
        </w:rPr>
        <w:t xml:space="preserve"> la situación </w:t>
      </w:r>
      <w:r w:rsidR="00FB50FC">
        <w:rPr>
          <w:rFonts w:cs="Arial"/>
          <w:sz w:val="20"/>
          <w:szCs w:val="20"/>
        </w:rPr>
        <w:t xml:space="preserve">en suspenso. </w:t>
      </w:r>
      <w:r w:rsidR="00F338CD">
        <w:rPr>
          <w:rFonts w:cs="Arial"/>
          <w:sz w:val="20"/>
          <w:szCs w:val="20"/>
        </w:rPr>
        <w:t xml:space="preserve">Por una parte, </w:t>
      </w:r>
      <w:r w:rsidR="00957880">
        <w:rPr>
          <w:rFonts w:cs="Arial"/>
          <w:sz w:val="20"/>
          <w:szCs w:val="20"/>
        </w:rPr>
        <w:t>e</w:t>
      </w:r>
      <w:r w:rsidR="00FB50FC">
        <w:rPr>
          <w:rFonts w:cs="Arial"/>
          <w:sz w:val="20"/>
          <w:szCs w:val="20"/>
        </w:rPr>
        <w:t xml:space="preserve">l crecimiento del empleo </w:t>
      </w:r>
      <w:r w:rsidR="00F338CD">
        <w:rPr>
          <w:rFonts w:cs="Arial"/>
          <w:sz w:val="20"/>
          <w:szCs w:val="20"/>
        </w:rPr>
        <w:t xml:space="preserve">total </w:t>
      </w:r>
      <w:r w:rsidR="00FB50FC">
        <w:rPr>
          <w:rFonts w:cs="Arial"/>
          <w:sz w:val="20"/>
          <w:szCs w:val="20"/>
        </w:rPr>
        <w:t>ha continuado</w:t>
      </w:r>
      <w:r w:rsidR="00530879">
        <w:rPr>
          <w:rFonts w:cs="Arial"/>
          <w:sz w:val="20"/>
          <w:szCs w:val="20"/>
        </w:rPr>
        <w:t xml:space="preserve"> </w:t>
      </w:r>
      <w:r w:rsidR="00FB50FC">
        <w:rPr>
          <w:rFonts w:cs="Arial"/>
          <w:sz w:val="20"/>
          <w:szCs w:val="20"/>
        </w:rPr>
        <w:t>deteriorándose</w:t>
      </w:r>
      <w:r w:rsidR="00957880">
        <w:rPr>
          <w:rFonts w:cs="Arial"/>
          <w:sz w:val="20"/>
          <w:szCs w:val="20"/>
        </w:rPr>
        <w:t xml:space="preserve"> </w:t>
      </w:r>
      <w:r w:rsidR="00E603C4">
        <w:rPr>
          <w:rFonts w:cs="Arial"/>
          <w:sz w:val="20"/>
          <w:szCs w:val="20"/>
        </w:rPr>
        <w:t xml:space="preserve">en 2015 </w:t>
      </w:r>
      <w:r w:rsidR="00957880">
        <w:rPr>
          <w:rFonts w:cs="Arial"/>
          <w:sz w:val="20"/>
          <w:szCs w:val="20"/>
        </w:rPr>
        <w:t>y e</w:t>
      </w:r>
      <w:r w:rsidR="00530879">
        <w:rPr>
          <w:rFonts w:cs="Arial"/>
          <w:sz w:val="20"/>
          <w:szCs w:val="20"/>
        </w:rPr>
        <w:t xml:space="preserve">n el trimestre móvil febrero-mayo </w:t>
      </w:r>
      <w:r w:rsidR="00854A97">
        <w:rPr>
          <w:rFonts w:cs="Arial"/>
          <w:sz w:val="20"/>
          <w:szCs w:val="20"/>
        </w:rPr>
        <w:t>se incrementó en apenas</w:t>
      </w:r>
      <w:r w:rsidR="00957880">
        <w:rPr>
          <w:rFonts w:cs="Arial"/>
          <w:sz w:val="20"/>
          <w:szCs w:val="20"/>
        </w:rPr>
        <w:t xml:space="preserve"> </w:t>
      </w:r>
      <w:r w:rsidR="00530879">
        <w:rPr>
          <w:rFonts w:cs="Arial"/>
          <w:sz w:val="20"/>
          <w:szCs w:val="20"/>
        </w:rPr>
        <w:t>0,8% en 12 meses,</w:t>
      </w:r>
      <w:r w:rsidR="00CB1ECA">
        <w:rPr>
          <w:rFonts w:cs="Arial"/>
          <w:sz w:val="20"/>
          <w:szCs w:val="20"/>
        </w:rPr>
        <w:t xml:space="preserve"> esto representa</w:t>
      </w:r>
      <w:r w:rsidR="00530879">
        <w:rPr>
          <w:rFonts w:cs="Arial"/>
          <w:sz w:val="20"/>
          <w:szCs w:val="20"/>
        </w:rPr>
        <w:t xml:space="preserve"> </w:t>
      </w:r>
      <w:r w:rsidR="00854A97">
        <w:rPr>
          <w:rFonts w:cs="Arial"/>
          <w:sz w:val="20"/>
          <w:szCs w:val="20"/>
        </w:rPr>
        <w:t xml:space="preserve">el segundo registro más bajo </w:t>
      </w:r>
      <w:r w:rsidR="00530879">
        <w:rPr>
          <w:rFonts w:cs="Arial"/>
          <w:sz w:val="20"/>
          <w:szCs w:val="20"/>
        </w:rPr>
        <w:t xml:space="preserve">desde </w:t>
      </w:r>
      <w:r w:rsidR="00854A97">
        <w:rPr>
          <w:rFonts w:cs="Arial"/>
          <w:sz w:val="20"/>
          <w:szCs w:val="20"/>
        </w:rPr>
        <w:t xml:space="preserve">la recesión </w:t>
      </w:r>
      <w:r w:rsidR="00530879">
        <w:rPr>
          <w:rFonts w:cs="Arial"/>
          <w:sz w:val="20"/>
          <w:szCs w:val="20"/>
        </w:rPr>
        <w:t>2009.</w:t>
      </w:r>
    </w:p>
    <w:p w:rsidR="00D95839" w:rsidRDefault="00E603C4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 embargo, e</w:t>
      </w:r>
      <w:r w:rsidR="00530879">
        <w:rPr>
          <w:rFonts w:cs="Arial"/>
          <w:sz w:val="20"/>
          <w:szCs w:val="20"/>
        </w:rPr>
        <w:t xml:space="preserve">l análisis en detalle de las categorías de empleo podría sugerir </w:t>
      </w:r>
      <w:r w:rsidR="00D95839">
        <w:rPr>
          <w:rFonts w:cs="Arial"/>
          <w:sz w:val="20"/>
          <w:szCs w:val="20"/>
        </w:rPr>
        <w:t xml:space="preserve">en primera instancia </w:t>
      </w:r>
      <w:r w:rsidR="00530879">
        <w:rPr>
          <w:rFonts w:cs="Arial"/>
          <w:sz w:val="20"/>
          <w:szCs w:val="20"/>
        </w:rPr>
        <w:t>que la situación ha</w:t>
      </w:r>
      <w:r w:rsidR="00D95839">
        <w:rPr>
          <w:rFonts w:cs="Arial"/>
          <w:sz w:val="20"/>
          <w:szCs w:val="20"/>
        </w:rPr>
        <w:t xml:space="preserve">bría ido </w:t>
      </w:r>
      <w:r w:rsidR="00CB1ECA">
        <w:rPr>
          <w:rFonts w:cs="Arial"/>
          <w:sz w:val="20"/>
          <w:szCs w:val="20"/>
        </w:rPr>
        <w:t>mejorando</w:t>
      </w:r>
      <w:r w:rsidR="00D95839">
        <w:rPr>
          <w:rFonts w:cs="Arial"/>
          <w:sz w:val="20"/>
          <w:szCs w:val="20"/>
        </w:rPr>
        <w:t>. E</w:t>
      </w:r>
      <w:r w:rsidR="00530879">
        <w:rPr>
          <w:rFonts w:cs="Arial"/>
          <w:sz w:val="20"/>
          <w:szCs w:val="20"/>
        </w:rPr>
        <w:t>l empleo asalariado</w:t>
      </w:r>
      <w:r w:rsidR="00D9583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</w:t>
      </w:r>
      <w:r w:rsidR="00D95839">
        <w:rPr>
          <w:rFonts w:cs="Arial"/>
          <w:sz w:val="20"/>
          <w:szCs w:val="20"/>
        </w:rPr>
        <w:t xml:space="preserve">a acelerado su crecimiento por sobre el 2% en 12 meses (2,3% en abril), y el empleo por cuenta propia, de por si más precario e inestable, </w:t>
      </w:r>
      <w:r>
        <w:rPr>
          <w:rFonts w:cs="Arial"/>
          <w:sz w:val="20"/>
          <w:szCs w:val="20"/>
        </w:rPr>
        <w:t>se ha replegado</w:t>
      </w:r>
      <w:r w:rsidR="00D95839">
        <w:rPr>
          <w:rFonts w:cs="Arial"/>
          <w:sz w:val="20"/>
          <w:szCs w:val="20"/>
        </w:rPr>
        <w:t xml:space="preserve"> en 2015, </w:t>
      </w:r>
      <w:r>
        <w:rPr>
          <w:rFonts w:cs="Arial"/>
          <w:sz w:val="20"/>
          <w:szCs w:val="20"/>
        </w:rPr>
        <w:t>interrumpiendo</w:t>
      </w:r>
      <w:r w:rsidR="00D95839">
        <w:rPr>
          <w:rFonts w:cs="Arial"/>
          <w:sz w:val="20"/>
          <w:szCs w:val="20"/>
        </w:rPr>
        <w:t xml:space="preserve"> el </w:t>
      </w:r>
      <w:r>
        <w:rPr>
          <w:rFonts w:cs="Arial"/>
          <w:sz w:val="20"/>
          <w:szCs w:val="20"/>
        </w:rPr>
        <w:t xml:space="preserve">crecimiento en espiral </w:t>
      </w:r>
      <w:r w:rsidR="00D95839">
        <w:rPr>
          <w:rFonts w:cs="Arial"/>
          <w:sz w:val="20"/>
          <w:szCs w:val="20"/>
        </w:rPr>
        <w:t xml:space="preserve">que tuvo en </w:t>
      </w:r>
      <w:r>
        <w:rPr>
          <w:rFonts w:cs="Arial"/>
          <w:sz w:val="20"/>
          <w:szCs w:val="20"/>
        </w:rPr>
        <w:t xml:space="preserve">buena parte de </w:t>
      </w:r>
      <w:r w:rsidR="00854A97">
        <w:rPr>
          <w:rFonts w:cs="Arial"/>
          <w:sz w:val="20"/>
          <w:szCs w:val="20"/>
        </w:rPr>
        <w:t>2014.</w:t>
      </w:r>
    </w:p>
    <w:p w:rsidR="00A02EF0" w:rsidRDefault="00E603C4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Esta</w:t>
      </w:r>
      <w:r w:rsidR="008852F2">
        <w:rPr>
          <w:rFonts w:cs="Arial"/>
          <w:sz w:val="20"/>
          <w:szCs w:val="20"/>
        </w:rPr>
        <w:t xml:space="preserve"> dinámica reciente de creación de empleos </w:t>
      </w:r>
      <w:r w:rsidR="00F338CD">
        <w:rPr>
          <w:rFonts w:cs="Arial"/>
          <w:sz w:val="20"/>
          <w:szCs w:val="20"/>
        </w:rPr>
        <w:t xml:space="preserve">asalariados </w:t>
      </w:r>
      <w:r w:rsidR="008852F2">
        <w:rPr>
          <w:rFonts w:cs="Arial"/>
          <w:sz w:val="20"/>
          <w:szCs w:val="20"/>
        </w:rPr>
        <w:t>no es sostenible en el tiempo,</w:t>
      </w:r>
      <w:r>
        <w:rPr>
          <w:rFonts w:cs="Arial"/>
          <w:sz w:val="20"/>
          <w:szCs w:val="20"/>
        </w:rPr>
        <w:t xml:space="preserve"> ya que responde en gran medida</w:t>
      </w:r>
      <w:r w:rsidR="00CB1ECA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a una acelerada creación de empleo público (9% en 12 meses)</w:t>
      </w:r>
      <w:r w:rsidR="00854A97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y </w:t>
      </w:r>
      <w:r w:rsidR="00242C47">
        <w:rPr>
          <w:rFonts w:cs="Arial"/>
          <w:sz w:val="20"/>
          <w:szCs w:val="20"/>
        </w:rPr>
        <w:t xml:space="preserve">es lo </w:t>
      </w:r>
      <w:r>
        <w:rPr>
          <w:rFonts w:cs="Arial"/>
          <w:sz w:val="20"/>
          <w:szCs w:val="20"/>
        </w:rPr>
        <w:t>que ha mantenido a raya</w:t>
      </w:r>
      <w:r w:rsidR="00CB1ECA">
        <w:rPr>
          <w:rFonts w:cs="Arial"/>
          <w:sz w:val="20"/>
          <w:szCs w:val="20"/>
        </w:rPr>
        <w:t xml:space="preserve"> -</w:t>
      </w:r>
      <w:r>
        <w:rPr>
          <w:rFonts w:cs="Arial"/>
          <w:sz w:val="20"/>
          <w:szCs w:val="20"/>
        </w:rPr>
        <w:t xml:space="preserve"> </w:t>
      </w:r>
      <w:r w:rsidR="00F338CD">
        <w:rPr>
          <w:rFonts w:cs="Arial"/>
          <w:sz w:val="20"/>
          <w:szCs w:val="20"/>
        </w:rPr>
        <w:t>por ahora</w:t>
      </w:r>
      <w:r w:rsidR="00CB1ECA">
        <w:rPr>
          <w:rFonts w:cs="Arial"/>
          <w:sz w:val="20"/>
          <w:szCs w:val="20"/>
        </w:rPr>
        <w:t xml:space="preserve"> -</w:t>
      </w:r>
      <w:r w:rsidR="00F338CD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el empleo por cuenta propia. L</w:t>
      </w:r>
      <w:r w:rsidR="008852F2">
        <w:rPr>
          <w:rFonts w:cs="Arial"/>
          <w:sz w:val="20"/>
          <w:szCs w:val="20"/>
        </w:rPr>
        <w:t xml:space="preserve">o que esperamos ver en los próximos meses es una moderación en la trayectoria de creación de empleos públicos </w:t>
      </w:r>
      <w:r w:rsidR="00854A97">
        <w:rPr>
          <w:rFonts w:cs="Arial"/>
          <w:sz w:val="20"/>
          <w:szCs w:val="20"/>
        </w:rPr>
        <w:t>junto a mayor</w:t>
      </w:r>
      <w:r w:rsidR="008852F2">
        <w:rPr>
          <w:rFonts w:cs="Arial"/>
          <w:sz w:val="20"/>
          <w:szCs w:val="20"/>
        </w:rPr>
        <w:t xml:space="preserve"> crecimiento del empleo por cuenta propia. Con ello, la creación de ocupaciones asalariadas se frenaría </w:t>
      </w:r>
      <w:r w:rsidR="00A02EF0">
        <w:rPr>
          <w:rFonts w:cs="Arial"/>
          <w:sz w:val="20"/>
          <w:szCs w:val="20"/>
        </w:rPr>
        <w:t xml:space="preserve">desde los 120 mil </w:t>
      </w:r>
      <w:r w:rsidR="00F338CD">
        <w:rPr>
          <w:rFonts w:cs="Arial"/>
          <w:sz w:val="20"/>
          <w:szCs w:val="20"/>
        </w:rPr>
        <w:t xml:space="preserve">puestos de trabajo </w:t>
      </w:r>
      <w:r w:rsidR="00A02EF0">
        <w:rPr>
          <w:rFonts w:cs="Arial"/>
          <w:sz w:val="20"/>
          <w:szCs w:val="20"/>
        </w:rPr>
        <w:t xml:space="preserve">observados en el primer trimestre a </w:t>
      </w:r>
      <w:r w:rsidR="00F338CD">
        <w:rPr>
          <w:rFonts w:cs="Arial"/>
          <w:sz w:val="20"/>
          <w:szCs w:val="20"/>
        </w:rPr>
        <w:t>unos</w:t>
      </w:r>
      <w:r w:rsidR="00A02EF0">
        <w:rPr>
          <w:rFonts w:cs="Arial"/>
          <w:sz w:val="20"/>
          <w:szCs w:val="20"/>
        </w:rPr>
        <w:t xml:space="preserve"> 70 u 80 mil </w:t>
      </w:r>
      <w:r w:rsidR="00F338CD">
        <w:rPr>
          <w:rFonts w:cs="Arial"/>
          <w:sz w:val="20"/>
          <w:szCs w:val="20"/>
        </w:rPr>
        <w:t>en el último trimestre</w:t>
      </w:r>
      <w:r w:rsidR="00242C47">
        <w:rPr>
          <w:rFonts w:cs="Arial"/>
          <w:sz w:val="20"/>
          <w:szCs w:val="20"/>
        </w:rPr>
        <w:t xml:space="preserve"> de 2015</w:t>
      </w:r>
      <w:r w:rsidR="00A02EF0">
        <w:rPr>
          <w:rFonts w:cs="Arial"/>
          <w:sz w:val="20"/>
          <w:szCs w:val="20"/>
        </w:rPr>
        <w:t>.</w:t>
      </w: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El índice de puestos de trabajo también continúa en zona de declinación, marcando un -1,9% en 12 meses en abril último, sin mayores cambios respecto de los meses anteriores.</w:t>
      </w:r>
    </w:p>
    <w:p w:rsidR="00854A97" w:rsidRDefault="00854A97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6E6120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 w:rsidRPr="00A81EDC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3199765</wp:posOffset>
            </wp:positionH>
            <wp:positionV relativeFrom="paragraph">
              <wp:posOffset>-107835</wp:posOffset>
            </wp:positionV>
            <wp:extent cx="2811780" cy="2423160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EDC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-117129</wp:posOffset>
            </wp:positionV>
            <wp:extent cx="3040380" cy="2423160"/>
            <wp:effectExtent l="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6E6120" w:rsidP="006E6120">
      <w:pPr>
        <w:pStyle w:val="texto"/>
        <w:tabs>
          <w:tab w:val="left" w:pos="7567"/>
        </w:tabs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81EDC" w:rsidRDefault="00A81EDC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</w:p>
    <w:p w:rsidR="00AB0889" w:rsidRDefault="00F338CD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el ámbito </w:t>
      </w:r>
      <w:r w:rsidR="00437FFA">
        <w:rPr>
          <w:rFonts w:cs="Arial"/>
          <w:sz w:val="20"/>
          <w:szCs w:val="20"/>
        </w:rPr>
        <w:t>financiero</w:t>
      </w:r>
      <w:r>
        <w:rPr>
          <w:rFonts w:cs="Arial"/>
          <w:sz w:val="20"/>
          <w:szCs w:val="20"/>
        </w:rPr>
        <w:t xml:space="preserve">, se </w:t>
      </w:r>
      <w:r w:rsidR="00437FFA">
        <w:rPr>
          <w:rFonts w:cs="Arial"/>
          <w:sz w:val="20"/>
          <w:szCs w:val="20"/>
        </w:rPr>
        <w:t xml:space="preserve">observa </w:t>
      </w:r>
      <w:r>
        <w:rPr>
          <w:rFonts w:cs="Arial"/>
          <w:sz w:val="20"/>
          <w:szCs w:val="20"/>
        </w:rPr>
        <w:t>una rápida desaceleración de</w:t>
      </w:r>
      <w:r w:rsidR="00CB1EC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l</w:t>
      </w:r>
      <w:r w:rsidR="00CB1ECA">
        <w:rPr>
          <w:rFonts w:cs="Arial"/>
          <w:sz w:val="20"/>
          <w:szCs w:val="20"/>
        </w:rPr>
        <w:t>a actividad</w:t>
      </w:r>
      <w:r>
        <w:rPr>
          <w:rFonts w:cs="Arial"/>
          <w:sz w:val="20"/>
          <w:szCs w:val="20"/>
        </w:rPr>
        <w:t xml:space="preserve"> cr</w:t>
      </w:r>
      <w:r w:rsidR="00CB1ECA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>dit</w:t>
      </w:r>
      <w:r w:rsidR="00CB1ECA">
        <w:rPr>
          <w:rFonts w:cs="Arial"/>
          <w:sz w:val="20"/>
          <w:szCs w:val="20"/>
        </w:rPr>
        <w:t>icia</w:t>
      </w:r>
      <w:r w:rsidR="00437FFA">
        <w:rPr>
          <w:rFonts w:cs="Arial"/>
          <w:sz w:val="20"/>
          <w:szCs w:val="20"/>
        </w:rPr>
        <w:t xml:space="preserve"> en los últimos meses</w:t>
      </w:r>
      <w:r>
        <w:rPr>
          <w:rFonts w:cs="Arial"/>
          <w:sz w:val="20"/>
          <w:szCs w:val="20"/>
        </w:rPr>
        <w:t>. Las colocaciones de consumo han rebajado su crecimiento a 3,3% real en 12 meses, desde el 8% q</w:t>
      </w:r>
      <w:r w:rsidR="00A81EDC">
        <w:rPr>
          <w:rFonts w:cs="Arial"/>
          <w:sz w:val="20"/>
          <w:szCs w:val="20"/>
        </w:rPr>
        <w:t>ue marcaban a mediados de 2014</w:t>
      </w:r>
      <w:r w:rsidR="00437FFA">
        <w:rPr>
          <w:rFonts w:cs="Arial"/>
          <w:sz w:val="20"/>
          <w:szCs w:val="20"/>
        </w:rPr>
        <w:t xml:space="preserve">, mientras que </w:t>
      </w:r>
      <w:r w:rsidR="00A81EDC">
        <w:rPr>
          <w:rFonts w:cs="Arial"/>
          <w:sz w:val="20"/>
          <w:szCs w:val="20"/>
        </w:rPr>
        <w:t xml:space="preserve">las colocaciones comerciales </w:t>
      </w:r>
      <w:r w:rsidR="00AB0889">
        <w:rPr>
          <w:rFonts w:cs="Arial"/>
          <w:sz w:val="20"/>
          <w:szCs w:val="20"/>
        </w:rPr>
        <w:t xml:space="preserve">de la banca </w:t>
      </w:r>
      <w:r w:rsidR="00A81EDC">
        <w:rPr>
          <w:rFonts w:cs="Arial"/>
          <w:sz w:val="20"/>
          <w:szCs w:val="20"/>
        </w:rPr>
        <w:t xml:space="preserve">muestran un crecimiento muy débil, inferior a 3% real. </w:t>
      </w:r>
      <w:r w:rsidR="00AB0889">
        <w:rPr>
          <w:rFonts w:cs="Arial"/>
          <w:sz w:val="20"/>
          <w:szCs w:val="20"/>
        </w:rPr>
        <w:t xml:space="preserve">El crédito de casas comerciales </w:t>
      </w:r>
      <w:r w:rsidR="00437FFA">
        <w:rPr>
          <w:rFonts w:cs="Arial"/>
          <w:sz w:val="20"/>
          <w:szCs w:val="20"/>
        </w:rPr>
        <w:t>presenta</w:t>
      </w:r>
      <w:r w:rsidR="00AB0889">
        <w:rPr>
          <w:rFonts w:cs="Arial"/>
          <w:sz w:val="20"/>
          <w:szCs w:val="20"/>
        </w:rPr>
        <w:t xml:space="preserve"> un comportamiento contractivo desde fines de 2014</w:t>
      </w:r>
      <w:r w:rsidR="00437FFA">
        <w:rPr>
          <w:rFonts w:cs="Arial"/>
          <w:sz w:val="20"/>
          <w:szCs w:val="20"/>
        </w:rPr>
        <w:t>,</w:t>
      </w:r>
      <w:r w:rsidR="00AB0889">
        <w:rPr>
          <w:rFonts w:cs="Arial"/>
          <w:sz w:val="20"/>
          <w:szCs w:val="20"/>
        </w:rPr>
        <w:t xml:space="preserve"> y en marzo se aprecia un descenso de la cartera crediticia de -3,5% real.</w:t>
      </w:r>
    </w:p>
    <w:p w:rsidR="00AE1BB8" w:rsidRDefault="005506CA" w:rsidP="00F91F08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Desde el punto de vista de los hogares,</w:t>
      </w:r>
      <w:r w:rsidR="0041111C">
        <w:rPr>
          <w:rFonts w:cs="Arial"/>
          <w:sz w:val="20"/>
          <w:szCs w:val="20"/>
        </w:rPr>
        <w:t xml:space="preserve"> el gasto en bienes durables, que está más estrechamente correlacionado con la confianza y la percepción de estabilidad en </w:t>
      </w:r>
      <w:r w:rsidR="00437FFA">
        <w:rPr>
          <w:rFonts w:cs="Arial"/>
          <w:sz w:val="20"/>
          <w:szCs w:val="20"/>
        </w:rPr>
        <w:t xml:space="preserve">el empleo e </w:t>
      </w:r>
      <w:r w:rsidR="0041111C">
        <w:rPr>
          <w:rFonts w:cs="Arial"/>
          <w:sz w:val="20"/>
          <w:szCs w:val="20"/>
        </w:rPr>
        <w:t xml:space="preserve">ingresos futuros, se mantiene en un plano aún incierto. El primer trimestre mantuvo la </w:t>
      </w:r>
      <w:r w:rsidR="00242C47">
        <w:rPr>
          <w:rFonts w:cs="Arial"/>
          <w:sz w:val="20"/>
          <w:szCs w:val="20"/>
        </w:rPr>
        <w:t xml:space="preserve">misma </w:t>
      </w:r>
      <w:r w:rsidR="0041111C">
        <w:rPr>
          <w:rFonts w:cs="Arial"/>
          <w:sz w:val="20"/>
          <w:szCs w:val="20"/>
        </w:rPr>
        <w:t xml:space="preserve">trayectoria </w:t>
      </w:r>
      <w:r w:rsidR="00437FFA">
        <w:rPr>
          <w:rFonts w:cs="Arial"/>
          <w:sz w:val="20"/>
          <w:szCs w:val="20"/>
        </w:rPr>
        <w:t>contractiva con que cerró</w:t>
      </w:r>
      <w:r w:rsidR="0041111C">
        <w:rPr>
          <w:rFonts w:cs="Arial"/>
          <w:sz w:val="20"/>
          <w:szCs w:val="20"/>
        </w:rPr>
        <w:t xml:space="preserve"> 2014, y </w:t>
      </w:r>
      <w:r w:rsidR="00437FFA">
        <w:rPr>
          <w:rFonts w:cs="Arial"/>
          <w:sz w:val="20"/>
          <w:szCs w:val="20"/>
        </w:rPr>
        <w:t xml:space="preserve">en </w:t>
      </w:r>
      <w:r w:rsidR="0041111C">
        <w:rPr>
          <w:rFonts w:cs="Arial"/>
          <w:sz w:val="20"/>
          <w:szCs w:val="20"/>
        </w:rPr>
        <w:t xml:space="preserve">abril </w:t>
      </w:r>
      <w:r w:rsidR="0019398D">
        <w:rPr>
          <w:rFonts w:cs="Arial"/>
          <w:sz w:val="20"/>
          <w:szCs w:val="20"/>
        </w:rPr>
        <w:t>registró un leve aumento de 1,9%</w:t>
      </w:r>
      <w:r w:rsidR="00437FFA">
        <w:rPr>
          <w:rFonts w:cs="Arial"/>
          <w:sz w:val="20"/>
          <w:szCs w:val="20"/>
        </w:rPr>
        <w:t>, pero manteniéndose</w:t>
      </w:r>
      <w:r w:rsidR="0019398D">
        <w:rPr>
          <w:rFonts w:cs="Arial"/>
          <w:sz w:val="20"/>
          <w:szCs w:val="20"/>
        </w:rPr>
        <w:t xml:space="preserve"> en la zona de pesimismo. Los sub indicadores relacionados con la situación actual del país, expectativas a 12 meses, estabilidad </w:t>
      </w:r>
      <w:r w:rsidR="00437FFA">
        <w:rPr>
          <w:rFonts w:cs="Arial"/>
          <w:sz w:val="20"/>
          <w:szCs w:val="20"/>
        </w:rPr>
        <w:t xml:space="preserve">en los </w:t>
      </w:r>
      <w:r w:rsidR="0019398D">
        <w:rPr>
          <w:rFonts w:cs="Arial"/>
          <w:sz w:val="20"/>
          <w:szCs w:val="20"/>
        </w:rPr>
        <w:t xml:space="preserve">próximos cinco años y situación personal actual, </w:t>
      </w:r>
      <w:r w:rsidR="00242C47">
        <w:rPr>
          <w:rFonts w:cs="Arial"/>
          <w:sz w:val="20"/>
          <w:szCs w:val="20"/>
        </w:rPr>
        <w:t>permanecen por deb</w:t>
      </w:r>
      <w:r w:rsidR="0019398D">
        <w:rPr>
          <w:rFonts w:cs="Arial"/>
          <w:sz w:val="20"/>
          <w:szCs w:val="20"/>
        </w:rPr>
        <w:t>ajo de la brecha neutral de 50 puntos</w:t>
      </w:r>
      <w:r w:rsidR="0019398D">
        <w:rPr>
          <w:rStyle w:val="Refdenotaalpie"/>
          <w:rFonts w:cs="Arial"/>
          <w:sz w:val="20"/>
          <w:szCs w:val="20"/>
        </w:rPr>
        <w:footnoteReference w:id="2"/>
      </w:r>
      <w:r w:rsidR="0019398D">
        <w:rPr>
          <w:rFonts w:cs="Arial"/>
          <w:sz w:val="20"/>
          <w:szCs w:val="20"/>
        </w:rPr>
        <w:t>.</w:t>
      </w:r>
    </w:p>
    <w:p w:rsidR="002E4931" w:rsidRPr="00617CE2" w:rsidRDefault="00242C47" w:rsidP="00535EC2">
      <w:pPr>
        <w:pStyle w:val="texto"/>
        <w:spacing w:before="120" w:after="120" w:line="240" w:lineRule="auto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En definitiva, el crecimiento previsto de 2,7% para 2015 </w:t>
      </w:r>
      <w:r w:rsidR="00CB1ECA">
        <w:rPr>
          <w:rFonts w:cs="Arial"/>
          <w:sz w:val="20"/>
          <w:szCs w:val="20"/>
        </w:rPr>
        <w:t>exige</w:t>
      </w:r>
      <w:r>
        <w:rPr>
          <w:rFonts w:cs="Arial"/>
          <w:sz w:val="20"/>
          <w:szCs w:val="20"/>
        </w:rPr>
        <w:t xml:space="preserve"> una aceleración de la actividad económica desde aproximadamente un 2,1% que observaremos en el segundo trimestre de 2015 a </w:t>
      </w:r>
      <w:r w:rsidR="00743CA5">
        <w:rPr>
          <w:rFonts w:cs="Arial"/>
          <w:sz w:val="20"/>
          <w:szCs w:val="20"/>
        </w:rPr>
        <w:t xml:space="preserve">3%, </w:t>
      </w:r>
      <w:r w:rsidR="00437FFA">
        <w:rPr>
          <w:rFonts w:cs="Arial"/>
          <w:sz w:val="20"/>
          <w:szCs w:val="20"/>
        </w:rPr>
        <w:t xml:space="preserve">lo </w:t>
      </w:r>
      <w:r w:rsidR="00743CA5">
        <w:rPr>
          <w:rFonts w:cs="Arial"/>
          <w:sz w:val="20"/>
          <w:szCs w:val="20"/>
        </w:rPr>
        <w:t xml:space="preserve">que significa casi un punto más de expansión. La </w:t>
      </w:r>
      <w:r w:rsidR="00EE07A3">
        <w:rPr>
          <w:rFonts w:cs="Arial"/>
          <w:sz w:val="20"/>
          <w:szCs w:val="20"/>
        </w:rPr>
        <w:t xml:space="preserve">debilidad </w:t>
      </w:r>
      <w:r w:rsidR="00743CA5">
        <w:rPr>
          <w:rFonts w:cs="Arial"/>
          <w:sz w:val="20"/>
          <w:szCs w:val="20"/>
        </w:rPr>
        <w:t xml:space="preserve">de varios </w:t>
      </w:r>
      <w:r w:rsidR="00EE07A3">
        <w:rPr>
          <w:rFonts w:cs="Arial"/>
          <w:sz w:val="20"/>
          <w:szCs w:val="20"/>
        </w:rPr>
        <w:t xml:space="preserve">indicadores </w:t>
      </w:r>
      <w:r w:rsidR="00743CA5">
        <w:rPr>
          <w:rFonts w:cs="Arial"/>
          <w:sz w:val="20"/>
          <w:szCs w:val="20"/>
        </w:rPr>
        <w:t xml:space="preserve">de coyuntura en materia de empleo, importaciones, exportaciones, inversión y consumo no permite </w:t>
      </w:r>
      <w:r w:rsidR="00CB1ECA">
        <w:rPr>
          <w:rFonts w:cs="Arial"/>
          <w:sz w:val="20"/>
          <w:szCs w:val="20"/>
        </w:rPr>
        <w:t>ser optimistas en alcanzar un re</w:t>
      </w:r>
      <w:r w:rsidR="00743CA5">
        <w:rPr>
          <w:rFonts w:cs="Arial"/>
          <w:sz w:val="20"/>
          <w:szCs w:val="20"/>
        </w:rPr>
        <w:t xml:space="preserve">punte de la actividad </w:t>
      </w:r>
      <w:r w:rsidR="00CB1ECA">
        <w:rPr>
          <w:rFonts w:cs="Arial"/>
          <w:sz w:val="20"/>
          <w:szCs w:val="20"/>
        </w:rPr>
        <w:t>d</w:t>
      </w:r>
      <w:r w:rsidR="00743CA5">
        <w:rPr>
          <w:rFonts w:cs="Arial"/>
          <w:sz w:val="20"/>
          <w:szCs w:val="20"/>
        </w:rPr>
        <w:t>e tal magnitud. De no haber cambios más claros de rumbo en est</w:t>
      </w:r>
      <w:r w:rsidR="00EE07A3">
        <w:rPr>
          <w:rFonts w:cs="Arial"/>
          <w:sz w:val="20"/>
          <w:szCs w:val="20"/>
        </w:rPr>
        <w:t>as variables</w:t>
      </w:r>
      <w:r w:rsidR="00743CA5">
        <w:rPr>
          <w:rFonts w:cs="Arial"/>
          <w:sz w:val="20"/>
          <w:szCs w:val="20"/>
        </w:rPr>
        <w:t xml:space="preserve">, no es descartable que el recorte de proyecciones de crecimiento </w:t>
      </w:r>
      <w:r w:rsidR="00CB1ECA">
        <w:rPr>
          <w:rFonts w:cs="Arial"/>
          <w:sz w:val="20"/>
          <w:szCs w:val="20"/>
        </w:rPr>
        <w:t>pueda prolongarse</w:t>
      </w:r>
      <w:r w:rsidR="00A62078">
        <w:rPr>
          <w:rFonts w:cs="Arial"/>
          <w:sz w:val="20"/>
          <w:szCs w:val="20"/>
        </w:rPr>
        <w:t xml:space="preserve"> hasta niveles</w:t>
      </w:r>
      <w:r w:rsidR="006E6120">
        <w:rPr>
          <w:rFonts w:cs="Arial"/>
          <w:sz w:val="20"/>
          <w:szCs w:val="20"/>
        </w:rPr>
        <w:t xml:space="preserve"> por debajo del 2,5%.</w:t>
      </w:r>
    </w:p>
    <w:sectPr w:rsidR="002E4931" w:rsidRPr="00617CE2" w:rsidSect="00F96369">
      <w:headerReference w:type="default" r:id="rId15"/>
      <w:pgSz w:w="12240" w:h="15840" w:code="1"/>
      <w:pgMar w:top="1417" w:right="1268" w:bottom="1417" w:left="1701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F2" w:rsidRDefault="004145F2" w:rsidP="00D07147">
      <w:r>
        <w:separator/>
      </w:r>
    </w:p>
  </w:endnote>
  <w:endnote w:type="continuationSeparator" w:id="0">
    <w:p w:rsidR="004145F2" w:rsidRDefault="004145F2" w:rsidP="00D07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F2" w:rsidRDefault="004145F2" w:rsidP="00D07147">
      <w:r>
        <w:separator/>
      </w:r>
    </w:p>
  </w:footnote>
  <w:footnote w:type="continuationSeparator" w:id="0">
    <w:p w:rsidR="004145F2" w:rsidRDefault="004145F2" w:rsidP="00D07147">
      <w:r>
        <w:continuationSeparator/>
      </w:r>
    </w:p>
  </w:footnote>
  <w:footnote w:id="1">
    <w:p w:rsidR="002215C3" w:rsidRPr="002215C3" w:rsidRDefault="002215C3">
      <w:pPr>
        <w:pStyle w:val="Textonotapie"/>
        <w:rPr>
          <w:rFonts w:ascii="Tahoma" w:eastAsia="Calibri" w:hAnsi="Tahoma" w:cs="Arial"/>
          <w:color w:val="262626"/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2215C3">
        <w:rPr>
          <w:rFonts w:ascii="Tahoma" w:eastAsia="Calibri" w:hAnsi="Tahoma" w:cs="Arial"/>
          <w:color w:val="262626"/>
          <w:sz w:val="16"/>
        </w:rPr>
        <w:t>Valor contable de los inventarios al cierre de cada mes.</w:t>
      </w:r>
    </w:p>
  </w:footnote>
  <w:footnote w:id="2">
    <w:p w:rsidR="0019398D" w:rsidRDefault="0019398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43CA5">
        <w:rPr>
          <w:rFonts w:ascii="Tahoma" w:eastAsia="Calibri" w:hAnsi="Tahoma" w:cs="Arial"/>
          <w:color w:val="262626"/>
          <w:sz w:val="14"/>
        </w:rPr>
        <w:t xml:space="preserve">Índice </w:t>
      </w:r>
      <w:proofErr w:type="spellStart"/>
      <w:r w:rsidRPr="00743CA5">
        <w:rPr>
          <w:rFonts w:ascii="Tahoma" w:eastAsia="Calibri" w:hAnsi="Tahoma" w:cs="Arial"/>
          <w:color w:val="262626"/>
          <w:sz w:val="14"/>
        </w:rPr>
        <w:t>Ipec</w:t>
      </w:r>
      <w:proofErr w:type="spellEnd"/>
      <w:r w:rsidRPr="00743CA5">
        <w:rPr>
          <w:rFonts w:ascii="Tahoma" w:eastAsia="Calibri" w:hAnsi="Tahoma" w:cs="Arial"/>
          <w:color w:val="262626"/>
          <w:sz w:val="14"/>
        </w:rPr>
        <w:t xml:space="preserve"> Mayo 2015, </w:t>
      </w:r>
      <w:proofErr w:type="spellStart"/>
      <w:r w:rsidRPr="00743CA5">
        <w:rPr>
          <w:rFonts w:ascii="Tahoma" w:eastAsia="Calibri" w:hAnsi="Tahoma" w:cs="Arial"/>
          <w:color w:val="262626"/>
          <w:sz w:val="14"/>
        </w:rPr>
        <w:t>Gf</w:t>
      </w:r>
      <w:r w:rsidR="00437FFA">
        <w:rPr>
          <w:rFonts w:ascii="Tahoma" w:eastAsia="Calibri" w:hAnsi="Tahoma" w:cs="Arial"/>
          <w:color w:val="262626"/>
          <w:sz w:val="14"/>
        </w:rPr>
        <w:t>K</w:t>
      </w:r>
      <w:proofErr w:type="spellEnd"/>
      <w:r w:rsidRPr="00743CA5">
        <w:rPr>
          <w:rFonts w:ascii="Tahoma" w:eastAsia="Calibri" w:hAnsi="Tahoma" w:cs="Arial"/>
          <w:color w:val="262626"/>
          <w:sz w:val="14"/>
        </w:rPr>
        <w:t xml:space="preserve">, </w:t>
      </w:r>
      <w:proofErr w:type="spellStart"/>
      <w:r w:rsidRPr="00743CA5">
        <w:rPr>
          <w:rFonts w:ascii="Tahoma" w:eastAsia="Calibri" w:hAnsi="Tahoma" w:cs="Arial"/>
          <w:color w:val="262626"/>
          <w:sz w:val="14"/>
        </w:rPr>
        <w:t>Adimark</w:t>
      </w:r>
      <w:proofErr w:type="spell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47" w:rsidRDefault="00D07147">
    <w:pPr>
      <w:pStyle w:val="Encabezado"/>
    </w:pPr>
    <w:r w:rsidRPr="006403CB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-269875</wp:posOffset>
          </wp:positionH>
          <wp:positionV relativeFrom="paragraph">
            <wp:posOffset>-53340</wp:posOffset>
          </wp:positionV>
          <wp:extent cx="6729730" cy="1397000"/>
          <wp:effectExtent l="0" t="0" r="0" b="0"/>
          <wp:wrapThrough wrapText="bothSides">
            <wp:wrapPolygon edited="0">
              <wp:start x="0" y="0"/>
              <wp:lineTo x="0" y="21207"/>
              <wp:lineTo x="21156" y="21207"/>
              <wp:lineTo x="21156" y="0"/>
              <wp:lineTo x="0" y="0"/>
            </wp:wrapPolygon>
          </wp:wrapThrough>
          <wp:docPr id="1" name="Imagen 0" descr="Informe CoyunturaC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 CoyunturaCCS.jp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contrast="-3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1" r="-2325"/>
                  <a:stretch/>
                </pic:blipFill>
                <pic:spPr bwMode="auto">
                  <a:xfrm>
                    <a:off x="0" y="0"/>
                    <a:ext cx="6729730" cy="1397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2FA29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0E7C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C6E0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F5A5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40691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40448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3A2BE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9E23C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1C694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3D0F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2020D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03CB"/>
    <w:rsid w:val="00002D79"/>
    <w:rsid w:val="000036C3"/>
    <w:rsid w:val="00016213"/>
    <w:rsid w:val="0002728E"/>
    <w:rsid w:val="000334B6"/>
    <w:rsid w:val="00056263"/>
    <w:rsid w:val="000610F6"/>
    <w:rsid w:val="00061DEE"/>
    <w:rsid w:val="000645B4"/>
    <w:rsid w:val="00071207"/>
    <w:rsid w:val="000744FD"/>
    <w:rsid w:val="00076163"/>
    <w:rsid w:val="00077D9A"/>
    <w:rsid w:val="000821E6"/>
    <w:rsid w:val="00092F1D"/>
    <w:rsid w:val="000A3800"/>
    <w:rsid w:val="000C3F29"/>
    <w:rsid w:val="000E3B68"/>
    <w:rsid w:val="000E6D8B"/>
    <w:rsid w:val="000F1CC3"/>
    <w:rsid w:val="000F37DD"/>
    <w:rsid w:val="000F44D7"/>
    <w:rsid w:val="00102032"/>
    <w:rsid w:val="00106652"/>
    <w:rsid w:val="001115F5"/>
    <w:rsid w:val="00117DBB"/>
    <w:rsid w:val="001251F8"/>
    <w:rsid w:val="00131096"/>
    <w:rsid w:val="001355EC"/>
    <w:rsid w:val="00135B9E"/>
    <w:rsid w:val="00140C2C"/>
    <w:rsid w:val="001501B5"/>
    <w:rsid w:val="00150E95"/>
    <w:rsid w:val="00151AF0"/>
    <w:rsid w:val="00151ECE"/>
    <w:rsid w:val="001574F9"/>
    <w:rsid w:val="0016196D"/>
    <w:rsid w:val="00170953"/>
    <w:rsid w:val="00171F9F"/>
    <w:rsid w:val="0019398D"/>
    <w:rsid w:val="001B60D5"/>
    <w:rsid w:val="001C0081"/>
    <w:rsid w:val="001C3E94"/>
    <w:rsid w:val="001C6208"/>
    <w:rsid w:val="001E0CA4"/>
    <w:rsid w:val="001E2DC4"/>
    <w:rsid w:val="001F748F"/>
    <w:rsid w:val="0020081A"/>
    <w:rsid w:val="00201702"/>
    <w:rsid w:val="00205FBF"/>
    <w:rsid w:val="002215C3"/>
    <w:rsid w:val="002260B0"/>
    <w:rsid w:val="002346F1"/>
    <w:rsid w:val="00242C47"/>
    <w:rsid w:val="002465D1"/>
    <w:rsid w:val="00246C27"/>
    <w:rsid w:val="00261CFF"/>
    <w:rsid w:val="00263FE7"/>
    <w:rsid w:val="00294B99"/>
    <w:rsid w:val="002A53FA"/>
    <w:rsid w:val="002B1D54"/>
    <w:rsid w:val="002B36EC"/>
    <w:rsid w:val="002B5C26"/>
    <w:rsid w:val="002C6DA2"/>
    <w:rsid w:val="002D459C"/>
    <w:rsid w:val="002D561A"/>
    <w:rsid w:val="002D7450"/>
    <w:rsid w:val="002E1237"/>
    <w:rsid w:val="002E4931"/>
    <w:rsid w:val="00302F0F"/>
    <w:rsid w:val="003045AA"/>
    <w:rsid w:val="0030690B"/>
    <w:rsid w:val="00326D0F"/>
    <w:rsid w:val="003332FA"/>
    <w:rsid w:val="00344B69"/>
    <w:rsid w:val="00356DB3"/>
    <w:rsid w:val="00364307"/>
    <w:rsid w:val="00365467"/>
    <w:rsid w:val="003712CB"/>
    <w:rsid w:val="003779FE"/>
    <w:rsid w:val="00391AC2"/>
    <w:rsid w:val="0039722B"/>
    <w:rsid w:val="003A0245"/>
    <w:rsid w:val="003A3C72"/>
    <w:rsid w:val="003B0B5F"/>
    <w:rsid w:val="003B266B"/>
    <w:rsid w:val="003B6FE0"/>
    <w:rsid w:val="003C1BD2"/>
    <w:rsid w:val="003C246B"/>
    <w:rsid w:val="003C2EA3"/>
    <w:rsid w:val="003C6032"/>
    <w:rsid w:val="003D1B94"/>
    <w:rsid w:val="003D5F79"/>
    <w:rsid w:val="003D61BD"/>
    <w:rsid w:val="003E7821"/>
    <w:rsid w:val="0041111C"/>
    <w:rsid w:val="004145F2"/>
    <w:rsid w:val="00414A5C"/>
    <w:rsid w:val="00433603"/>
    <w:rsid w:val="00434783"/>
    <w:rsid w:val="00434F95"/>
    <w:rsid w:val="00435081"/>
    <w:rsid w:val="00436A7D"/>
    <w:rsid w:val="00437FFA"/>
    <w:rsid w:val="00442BDB"/>
    <w:rsid w:val="00447702"/>
    <w:rsid w:val="00470BD3"/>
    <w:rsid w:val="00473745"/>
    <w:rsid w:val="00474756"/>
    <w:rsid w:val="00476BD5"/>
    <w:rsid w:val="00480473"/>
    <w:rsid w:val="004820D7"/>
    <w:rsid w:val="004838C9"/>
    <w:rsid w:val="004843C5"/>
    <w:rsid w:val="00484D85"/>
    <w:rsid w:val="00485A03"/>
    <w:rsid w:val="00492E95"/>
    <w:rsid w:val="004939BA"/>
    <w:rsid w:val="004A0DFE"/>
    <w:rsid w:val="004A66E7"/>
    <w:rsid w:val="004E6664"/>
    <w:rsid w:val="004F2B99"/>
    <w:rsid w:val="004F43F7"/>
    <w:rsid w:val="004F75DC"/>
    <w:rsid w:val="00503955"/>
    <w:rsid w:val="00503E1C"/>
    <w:rsid w:val="00516F1C"/>
    <w:rsid w:val="00530879"/>
    <w:rsid w:val="0053254E"/>
    <w:rsid w:val="00535EC2"/>
    <w:rsid w:val="005506CA"/>
    <w:rsid w:val="00563ED0"/>
    <w:rsid w:val="00574C78"/>
    <w:rsid w:val="005759AC"/>
    <w:rsid w:val="005A2051"/>
    <w:rsid w:val="005B7A44"/>
    <w:rsid w:val="005C0023"/>
    <w:rsid w:val="005E197B"/>
    <w:rsid w:val="005E4496"/>
    <w:rsid w:val="00617CE2"/>
    <w:rsid w:val="006304C8"/>
    <w:rsid w:val="00631A6C"/>
    <w:rsid w:val="00637DB2"/>
    <w:rsid w:val="006403CB"/>
    <w:rsid w:val="00643514"/>
    <w:rsid w:val="0064502D"/>
    <w:rsid w:val="00653F12"/>
    <w:rsid w:val="00663D8F"/>
    <w:rsid w:val="00673163"/>
    <w:rsid w:val="00694416"/>
    <w:rsid w:val="006B02A6"/>
    <w:rsid w:val="006B380D"/>
    <w:rsid w:val="006B4113"/>
    <w:rsid w:val="006B5084"/>
    <w:rsid w:val="006C52D6"/>
    <w:rsid w:val="006E23B3"/>
    <w:rsid w:val="006E6120"/>
    <w:rsid w:val="007127EC"/>
    <w:rsid w:val="00726C25"/>
    <w:rsid w:val="00743CA5"/>
    <w:rsid w:val="00755470"/>
    <w:rsid w:val="0075549E"/>
    <w:rsid w:val="0076020C"/>
    <w:rsid w:val="0076599D"/>
    <w:rsid w:val="00766124"/>
    <w:rsid w:val="00770693"/>
    <w:rsid w:val="00790180"/>
    <w:rsid w:val="0079564A"/>
    <w:rsid w:val="007A5394"/>
    <w:rsid w:val="007B023A"/>
    <w:rsid w:val="007B58EC"/>
    <w:rsid w:val="007C649F"/>
    <w:rsid w:val="007E559E"/>
    <w:rsid w:val="007E6F8F"/>
    <w:rsid w:val="007F0A49"/>
    <w:rsid w:val="007F66D3"/>
    <w:rsid w:val="007F7332"/>
    <w:rsid w:val="008055ED"/>
    <w:rsid w:val="00810F50"/>
    <w:rsid w:val="00820F48"/>
    <w:rsid w:val="00843F18"/>
    <w:rsid w:val="008441B6"/>
    <w:rsid w:val="00854A97"/>
    <w:rsid w:val="008566A8"/>
    <w:rsid w:val="00856C03"/>
    <w:rsid w:val="00861208"/>
    <w:rsid w:val="008623C9"/>
    <w:rsid w:val="00871613"/>
    <w:rsid w:val="00884B1D"/>
    <w:rsid w:val="00884D15"/>
    <w:rsid w:val="008852F2"/>
    <w:rsid w:val="00893691"/>
    <w:rsid w:val="008A4893"/>
    <w:rsid w:val="008C097C"/>
    <w:rsid w:val="008D1819"/>
    <w:rsid w:val="008F6ED5"/>
    <w:rsid w:val="00901F90"/>
    <w:rsid w:val="00907D0E"/>
    <w:rsid w:val="00914DC2"/>
    <w:rsid w:val="00921779"/>
    <w:rsid w:val="00926E90"/>
    <w:rsid w:val="00941E52"/>
    <w:rsid w:val="00943042"/>
    <w:rsid w:val="009535D5"/>
    <w:rsid w:val="009567C0"/>
    <w:rsid w:val="00957880"/>
    <w:rsid w:val="009740D2"/>
    <w:rsid w:val="00976756"/>
    <w:rsid w:val="00981422"/>
    <w:rsid w:val="009845E7"/>
    <w:rsid w:val="0099320C"/>
    <w:rsid w:val="0099485A"/>
    <w:rsid w:val="00994C21"/>
    <w:rsid w:val="009A782A"/>
    <w:rsid w:val="009B276E"/>
    <w:rsid w:val="009B4463"/>
    <w:rsid w:val="009C21EA"/>
    <w:rsid w:val="009C5D73"/>
    <w:rsid w:val="009D0E1B"/>
    <w:rsid w:val="009D45F4"/>
    <w:rsid w:val="009F2FC2"/>
    <w:rsid w:val="009F3E58"/>
    <w:rsid w:val="009F5A6B"/>
    <w:rsid w:val="00A02292"/>
    <w:rsid w:val="00A02EF0"/>
    <w:rsid w:val="00A03366"/>
    <w:rsid w:val="00A06B95"/>
    <w:rsid w:val="00A1397D"/>
    <w:rsid w:val="00A1519B"/>
    <w:rsid w:val="00A21228"/>
    <w:rsid w:val="00A234A3"/>
    <w:rsid w:val="00A27145"/>
    <w:rsid w:val="00A31646"/>
    <w:rsid w:val="00A31D65"/>
    <w:rsid w:val="00A31D82"/>
    <w:rsid w:val="00A32DD9"/>
    <w:rsid w:val="00A33A67"/>
    <w:rsid w:val="00A50BBB"/>
    <w:rsid w:val="00A56276"/>
    <w:rsid w:val="00A60AD7"/>
    <w:rsid w:val="00A62078"/>
    <w:rsid w:val="00A808A4"/>
    <w:rsid w:val="00A80DFA"/>
    <w:rsid w:val="00A811C8"/>
    <w:rsid w:val="00A81EDC"/>
    <w:rsid w:val="00A86BC5"/>
    <w:rsid w:val="00A90680"/>
    <w:rsid w:val="00A94E2C"/>
    <w:rsid w:val="00AA698D"/>
    <w:rsid w:val="00AB0889"/>
    <w:rsid w:val="00AB69FD"/>
    <w:rsid w:val="00AC41F9"/>
    <w:rsid w:val="00AC7988"/>
    <w:rsid w:val="00AD00B4"/>
    <w:rsid w:val="00AD162A"/>
    <w:rsid w:val="00AD62A3"/>
    <w:rsid w:val="00AE1BB8"/>
    <w:rsid w:val="00AF167F"/>
    <w:rsid w:val="00AF6813"/>
    <w:rsid w:val="00AF7FC3"/>
    <w:rsid w:val="00B054E3"/>
    <w:rsid w:val="00B12461"/>
    <w:rsid w:val="00B159CC"/>
    <w:rsid w:val="00B178E1"/>
    <w:rsid w:val="00B3795E"/>
    <w:rsid w:val="00B521A0"/>
    <w:rsid w:val="00B57D4E"/>
    <w:rsid w:val="00B6390A"/>
    <w:rsid w:val="00B704B4"/>
    <w:rsid w:val="00B8783B"/>
    <w:rsid w:val="00BB0E32"/>
    <w:rsid w:val="00BB25E1"/>
    <w:rsid w:val="00BB3A04"/>
    <w:rsid w:val="00BD6045"/>
    <w:rsid w:val="00BE030D"/>
    <w:rsid w:val="00BE3F6B"/>
    <w:rsid w:val="00BF3FA0"/>
    <w:rsid w:val="00BF424F"/>
    <w:rsid w:val="00C07748"/>
    <w:rsid w:val="00C1468A"/>
    <w:rsid w:val="00C20AC4"/>
    <w:rsid w:val="00C27D6E"/>
    <w:rsid w:val="00C36335"/>
    <w:rsid w:val="00C4577C"/>
    <w:rsid w:val="00C60B4A"/>
    <w:rsid w:val="00C60E02"/>
    <w:rsid w:val="00C63C01"/>
    <w:rsid w:val="00C756C0"/>
    <w:rsid w:val="00C75BF1"/>
    <w:rsid w:val="00C75DE7"/>
    <w:rsid w:val="00C93BF2"/>
    <w:rsid w:val="00CB1C08"/>
    <w:rsid w:val="00CB1ECA"/>
    <w:rsid w:val="00CB4955"/>
    <w:rsid w:val="00CB7785"/>
    <w:rsid w:val="00CB77FE"/>
    <w:rsid w:val="00CC0619"/>
    <w:rsid w:val="00CC55D5"/>
    <w:rsid w:val="00CE2EC5"/>
    <w:rsid w:val="00CE374D"/>
    <w:rsid w:val="00CF26D3"/>
    <w:rsid w:val="00D07054"/>
    <w:rsid w:val="00D07147"/>
    <w:rsid w:val="00D10CC3"/>
    <w:rsid w:val="00D256AC"/>
    <w:rsid w:val="00D27DE7"/>
    <w:rsid w:val="00D505DF"/>
    <w:rsid w:val="00D74C92"/>
    <w:rsid w:val="00D74E7B"/>
    <w:rsid w:val="00D809E7"/>
    <w:rsid w:val="00D84C12"/>
    <w:rsid w:val="00D85215"/>
    <w:rsid w:val="00D91556"/>
    <w:rsid w:val="00D95839"/>
    <w:rsid w:val="00D95AA8"/>
    <w:rsid w:val="00DA570A"/>
    <w:rsid w:val="00DC3E05"/>
    <w:rsid w:val="00DC6938"/>
    <w:rsid w:val="00DC72F5"/>
    <w:rsid w:val="00DC784B"/>
    <w:rsid w:val="00DD3BA1"/>
    <w:rsid w:val="00DD6FAB"/>
    <w:rsid w:val="00DE1E3D"/>
    <w:rsid w:val="00DE6D2C"/>
    <w:rsid w:val="00E01C7B"/>
    <w:rsid w:val="00E03450"/>
    <w:rsid w:val="00E168AD"/>
    <w:rsid w:val="00E17013"/>
    <w:rsid w:val="00E201CC"/>
    <w:rsid w:val="00E20CA5"/>
    <w:rsid w:val="00E25D3D"/>
    <w:rsid w:val="00E27502"/>
    <w:rsid w:val="00E32313"/>
    <w:rsid w:val="00E35AFD"/>
    <w:rsid w:val="00E42321"/>
    <w:rsid w:val="00E603C4"/>
    <w:rsid w:val="00E66159"/>
    <w:rsid w:val="00E742F9"/>
    <w:rsid w:val="00E83A9C"/>
    <w:rsid w:val="00E87E78"/>
    <w:rsid w:val="00E975AE"/>
    <w:rsid w:val="00EA1AC9"/>
    <w:rsid w:val="00EB3286"/>
    <w:rsid w:val="00EB5C45"/>
    <w:rsid w:val="00EB78BB"/>
    <w:rsid w:val="00EC0AFA"/>
    <w:rsid w:val="00EC34E4"/>
    <w:rsid w:val="00ED571B"/>
    <w:rsid w:val="00ED620A"/>
    <w:rsid w:val="00ED693C"/>
    <w:rsid w:val="00ED77E0"/>
    <w:rsid w:val="00EE07A3"/>
    <w:rsid w:val="00EE3E02"/>
    <w:rsid w:val="00EE4B04"/>
    <w:rsid w:val="00EF17F8"/>
    <w:rsid w:val="00F00708"/>
    <w:rsid w:val="00F035B2"/>
    <w:rsid w:val="00F12AB2"/>
    <w:rsid w:val="00F14168"/>
    <w:rsid w:val="00F14561"/>
    <w:rsid w:val="00F338CD"/>
    <w:rsid w:val="00F356E8"/>
    <w:rsid w:val="00F36C03"/>
    <w:rsid w:val="00F43998"/>
    <w:rsid w:val="00F91F08"/>
    <w:rsid w:val="00F96369"/>
    <w:rsid w:val="00F97DED"/>
    <w:rsid w:val="00FB50FC"/>
    <w:rsid w:val="00FC2AFD"/>
    <w:rsid w:val="00FC57AE"/>
    <w:rsid w:val="00FD1EF6"/>
    <w:rsid w:val="00FD60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E7"/>
  </w:style>
  <w:style w:type="paragraph" w:styleId="Ttulo1">
    <w:name w:val="heading 1"/>
    <w:aliases w:val="Título principal Info económico"/>
    <w:next w:val="Normal"/>
    <w:link w:val="Ttulo1Car"/>
    <w:autoRedefine/>
    <w:uiPriority w:val="9"/>
    <w:qFormat/>
    <w:rsid w:val="00E32313"/>
    <w:pPr>
      <w:keepNext/>
      <w:keepLines/>
      <w:tabs>
        <w:tab w:val="left" w:pos="8647"/>
      </w:tabs>
      <w:ind w:left="567"/>
      <w:jc w:val="both"/>
      <w:outlineLvl w:val="0"/>
    </w:pPr>
    <w:rPr>
      <w:rFonts w:ascii="Tahoma" w:eastAsia="Times New Roman" w:hAnsi="Tahoma" w:cs="Times New Roman"/>
      <w:b/>
      <w:bCs/>
      <w:color w:val="404040"/>
      <w:spacing w:val="-2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1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4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1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147"/>
  </w:style>
  <w:style w:type="paragraph" w:styleId="Piedepgina">
    <w:name w:val="footer"/>
    <w:basedOn w:val="Normal"/>
    <w:link w:val="PiedepginaCar"/>
    <w:uiPriority w:val="99"/>
    <w:unhideWhenUsed/>
    <w:rsid w:val="00D071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147"/>
  </w:style>
  <w:style w:type="character" w:customStyle="1" w:styleId="Ttulo1Car">
    <w:name w:val="Título 1 Car"/>
    <w:aliases w:val="Título principal Info económico Car"/>
    <w:basedOn w:val="Fuentedeprrafopredeter"/>
    <w:link w:val="Ttulo1"/>
    <w:uiPriority w:val="9"/>
    <w:rsid w:val="00E32313"/>
    <w:rPr>
      <w:rFonts w:ascii="Tahoma" w:eastAsia="Times New Roman" w:hAnsi="Tahoma" w:cs="Times New Roman"/>
      <w:b/>
      <w:bCs/>
      <w:color w:val="404040"/>
      <w:spacing w:val="-26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450"/>
    <w:pPr>
      <w:spacing w:line="276" w:lineRule="auto"/>
      <w:jc w:val="both"/>
    </w:pPr>
    <w:rPr>
      <w:rFonts w:ascii="Arial" w:eastAsia="Calibri" w:hAnsi="Arial" w:cs="Times New Roman"/>
      <w:b/>
      <w:color w:val="E36C0A"/>
    </w:rPr>
  </w:style>
  <w:style w:type="character" w:customStyle="1" w:styleId="SubttuloCar">
    <w:name w:val="Subtítulo Car"/>
    <w:basedOn w:val="Fuentedeprrafopredeter"/>
    <w:link w:val="Subttulo"/>
    <w:uiPriority w:val="11"/>
    <w:rsid w:val="00E03450"/>
    <w:rPr>
      <w:rFonts w:ascii="Arial" w:eastAsia="Calibri" w:hAnsi="Arial" w:cs="Times New Roman"/>
      <w:b/>
      <w:color w:val="E36C0A"/>
    </w:rPr>
  </w:style>
  <w:style w:type="paragraph" w:customStyle="1" w:styleId="texto">
    <w:name w:val="texto"/>
    <w:basedOn w:val="Normal"/>
    <w:link w:val="textoCar"/>
    <w:qFormat/>
    <w:rsid w:val="008055ED"/>
    <w:pPr>
      <w:spacing w:line="360" w:lineRule="auto"/>
      <w:jc w:val="both"/>
    </w:pPr>
    <w:rPr>
      <w:rFonts w:ascii="Tahoma" w:eastAsia="Calibri" w:hAnsi="Tahoma" w:cs="Times New Roman"/>
      <w:color w:val="262626"/>
      <w:sz w:val="16"/>
      <w:szCs w:val="18"/>
    </w:rPr>
  </w:style>
  <w:style w:type="character" w:customStyle="1" w:styleId="textoCar">
    <w:name w:val="texto Car"/>
    <w:link w:val="texto"/>
    <w:rsid w:val="008055ED"/>
    <w:rPr>
      <w:rFonts w:ascii="Tahoma" w:eastAsia="Calibri" w:hAnsi="Tahoma" w:cs="Times New Roman"/>
      <w:color w:val="262626"/>
      <w:sz w:val="16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39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39B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39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E7"/>
  </w:style>
  <w:style w:type="paragraph" w:styleId="Ttulo1">
    <w:name w:val="heading 1"/>
    <w:aliases w:val="Título principal Info económico"/>
    <w:next w:val="Normal"/>
    <w:link w:val="Ttulo1Car"/>
    <w:autoRedefine/>
    <w:uiPriority w:val="9"/>
    <w:qFormat/>
    <w:rsid w:val="00EE07A3"/>
    <w:pPr>
      <w:keepNext/>
      <w:keepLines/>
      <w:tabs>
        <w:tab w:val="left" w:pos="8647"/>
      </w:tabs>
      <w:ind w:left="567"/>
      <w:jc w:val="both"/>
      <w:outlineLvl w:val="0"/>
    </w:pPr>
    <w:rPr>
      <w:rFonts w:ascii="Tahoma" w:eastAsia="Times New Roman" w:hAnsi="Tahoma" w:cs="Times New Roman"/>
      <w:b/>
      <w:bCs/>
      <w:color w:val="404040"/>
      <w:spacing w:val="-26"/>
      <w:sz w:val="3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1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14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1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147"/>
  </w:style>
  <w:style w:type="paragraph" w:styleId="Piedepgina">
    <w:name w:val="footer"/>
    <w:basedOn w:val="Normal"/>
    <w:link w:val="PiedepginaCar"/>
    <w:uiPriority w:val="99"/>
    <w:unhideWhenUsed/>
    <w:rsid w:val="00D071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147"/>
  </w:style>
  <w:style w:type="character" w:customStyle="1" w:styleId="Ttulo1Car">
    <w:name w:val="Título 1 Car"/>
    <w:aliases w:val="Título principal Info económico Car"/>
    <w:basedOn w:val="Fuentedeprrafopredeter"/>
    <w:link w:val="Ttulo1"/>
    <w:uiPriority w:val="9"/>
    <w:rsid w:val="00EE07A3"/>
    <w:rPr>
      <w:rFonts w:ascii="Tahoma" w:eastAsia="Times New Roman" w:hAnsi="Tahoma" w:cs="Times New Roman"/>
      <w:b/>
      <w:bCs/>
      <w:color w:val="404040"/>
      <w:spacing w:val="-26"/>
      <w:sz w:val="36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3450"/>
    <w:pPr>
      <w:spacing w:line="276" w:lineRule="auto"/>
      <w:jc w:val="both"/>
    </w:pPr>
    <w:rPr>
      <w:rFonts w:ascii="Arial" w:eastAsia="Calibri" w:hAnsi="Arial" w:cs="Times New Roman"/>
      <w:b/>
      <w:color w:val="E36C0A"/>
    </w:rPr>
  </w:style>
  <w:style w:type="character" w:customStyle="1" w:styleId="SubttuloCar">
    <w:name w:val="Subtítulo Car"/>
    <w:basedOn w:val="Fuentedeprrafopredeter"/>
    <w:link w:val="Subttulo"/>
    <w:uiPriority w:val="11"/>
    <w:rsid w:val="00E03450"/>
    <w:rPr>
      <w:rFonts w:ascii="Arial" w:eastAsia="Calibri" w:hAnsi="Arial" w:cs="Times New Roman"/>
      <w:b/>
      <w:color w:val="E36C0A"/>
    </w:rPr>
  </w:style>
  <w:style w:type="paragraph" w:customStyle="1" w:styleId="texto">
    <w:name w:val="texto"/>
    <w:basedOn w:val="Normal"/>
    <w:link w:val="textoCar"/>
    <w:qFormat/>
    <w:rsid w:val="008055ED"/>
    <w:pPr>
      <w:spacing w:line="360" w:lineRule="auto"/>
      <w:jc w:val="both"/>
    </w:pPr>
    <w:rPr>
      <w:rFonts w:ascii="Tahoma" w:eastAsia="Calibri" w:hAnsi="Tahoma" w:cs="Times New Roman"/>
      <w:color w:val="262626"/>
      <w:sz w:val="16"/>
      <w:szCs w:val="18"/>
    </w:rPr>
  </w:style>
  <w:style w:type="character" w:customStyle="1" w:styleId="textoCar">
    <w:name w:val="texto Car"/>
    <w:link w:val="texto"/>
    <w:rsid w:val="008055ED"/>
    <w:rPr>
      <w:rFonts w:ascii="Tahoma" w:eastAsia="Calibri" w:hAnsi="Tahoma" w:cs="Times New Roman"/>
      <w:color w:val="262626"/>
      <w:sz w:val="16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939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39B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39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EAB4-D2F1-4EE9-93DC-A858E973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1222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Pilar Cruz</dc:creator>
  <cp:lastModifiedBy>prensaccs</cp:lastModifiedBy>
  <cp:revision>6</cp:revision>
  <cp:lastPrinted>2015-06-16T21:28:00Z</cp:lastPrinted>
  <dcterms:created xsi:type="dcterms:W3CDTF">2015-06-18T12:56:00Z</dcterms:created>
  <dcterms:modified xsi:type="dcterms:W3CDTF">2015-06-18T13:02:00Z</dcterms:modified>
</cp:coreProperties>
</file>