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8E" w:rsidRPr="000732D8" w:rsidRDefault="000732D8" w:rsidP="00472F03">
      <w:pPr>
        <w:pStyle w:val="Ttulo2"/>
        <w:spacing w:before="0" w:beforeAutospacing="0" w:after="150" w:afterAutospacing="0"/>
        <w:jc w:val="center"/>
        <w:rPr>
          <w:rFonts w:ascii="Book Antiqua" w:hAnsi="Book Antiqua"/>
          <w:sz w:val="22"/>
          <w:szCs w:val="22"/>
          <w:u w:val="single"/>
          <w:lang w:val="es-CL"/>
        </w:rPr>
      </w:pPr>
      <w:r w:rsidRPr="000732D8">
        <w:rPr>
          <w:rFonts w:ascii="Book Antiqua" w:hAnsi="Book Antiqua"/>
          <w:sz w:val="22"/>
          <w:szCs w:val="22"/>
          <w:u w:val="single"/>
          <w:lang w:val="es-CL"/>
        </w:rPr>
        <w:t xml:space="preserve">USO POLÍTICO E INTERVENCIÓN ELECTORAL EN LA ASIGNACIÓN DE RECURSOS DEL MINISTERIO DEL INTERIOR (SUBDERE) DE CARA A LAS ELECCIONES MUNICIPALES. </w:t>
      </w:r>
    </w:p>
    <w:p w:rsidR="001C585E" w:rsidRPr="00781624" w:rsidRDefault="001C585E" w:rsidP="007A2F37"/>
    <w:p w:rsidR="00781624" w:rsidRPr="00781624" w:rsidRDefault="00781624" w:rsidP="007A2F37">
      <w:pPr>
        <w:jc w:val="right"/>
      </w:pPr>
      <w:r w:rsidRPr="00781624">
        <w:t>18 agosto de 2016</w:t>
      </w:r>
    </w:p>
    <w:p w:rsidR="00781624" w:rsidRPr="00781624" w:rsidRDefault="00781624" w:rsidP="007A2F37">
      <w:pPr>
        <w:pStyle w:val="Prrafodelista"/>
        <w:spacing w:after="160" w:line="259" w:lineRule="auto"/>
        <w:ind w:left="1080"/>
        <w:jc w:val="both"/>
        <w:rPr>
          <w:rFonts w:ascii="Book Antiqua" w:hAnsi="Book Antiqua"/>
          <w:b/>
          <w:sz w:val="22"/>
        </w:rPr>
      </w:pPr>
    </w:p>
    <w:p w:rsidR="00781624" w:rsidRPr="00781624" w:rsidRDefault="00781624" w:rsidP="007A2F37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b/>
          <w:sz w:val="22"/>
        </w:rPr>
      </w:pPr>
      <w:r w:rsidRPr="00781624">
        <w:rPr>
          <w:rFonts w:ascii="Book Antiqua" w:hAnsi="Book Antiqua"/>
          <w:b/>
          <w:sz w:val="22"/>
        </w:rPr>
        <w:t xml:space="preserve">INTRODUCCIÓN </w:t>
      </w:r>
    </w:p>
    <w:p w:rsidR="00EB5171" w:rsidRPr="00EB5171" w:rsidRDefault="00781624" w:rsidP="007A2F37">
      <w:pPr>
        <w:jc w:val="both"/>
        <w:rPr>
          <w:rFonts w:ascii="Book Antiqua" w:hAnsi="Book Antiqua" w:cs="Arial"/>
          <w:bCs/>
          <w:sz w:val="22"/>
          <w:szCs w:val="22"/>
          <w:shd w:val="clear" w:color="auto" w:fill="FFFFFF"/>
          <w:lang w:val="es-ES" w:eastAsia="es-ES"/>
        </w:rPr>
      </w:pPr>
      <w:r w:rsidRPr="00EB5171">
        <w:rPr>
          <w:rFonts w:ascii="Book Antiqua" w:hAnsi="Book Antiqua" w:cs="Arial"/>
          <w:bCs/>
          <w:sz w:val="22"/>
          <w:szCs w:val="22"/>
          <w:shd w:val="clear" w:color="auto" w:fill="FFFFFF"/>
          <w:lang w:val="es-ES" w:eastAsia="es-ES"/>
        </w:rPr>
        <w:t>Además de sus respectivos presupuestos, la principal fuente de financiamiento externo a la cual recurren los municipios son los recursos que año a año asigna la Subsecretaría de Desarrollo Regional, básicamente a través de dos programas: el Programa Mejoramiento Urbano y equipamiento comunal (PMU) y el Programa de Mejoramiento de Barrios (PMB), que en conjunto repartieron más de $ 116 mil millones de pesos solo el año 2015</w:t>
      </w:r>
      <w:r w:rsidR="00EB5171" w:rsidRPr="00EB5171">
        <w:rPr>
          <w:rFonts w:ascii="Book Antiqua" w:hAnsi="Book Antiqua" w:cs="Arial"/>
          <w:bCs/>
          <w:sz w:val="22"/>
          <w:szCs w:val="22"/>
          <w:shd w:val="clear" w:color="auto" w:fill="FFFFFF"/>
          <w:lang w:val="es-ES" w:eastAsia="es-ES"/>
        </w:rPr>
        <w:t xml:space="preserve"> y hasta el 30 de junio del presente año ya han asignado $42.767.062.063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 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 w:cs="Arial"/>
          <w:b w:val="0"/>
          <w:sz w:val="22"/>
          <w:szCs w:val="22"/>
          <w:shd w:val="clear" w:color="auto" w:fill="FFFFFF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El programa de </w:t>
      </w:r>
      <w:r w:rsidRPr="00781624">
        <w:rPr>
          <w:rFonts w:ascii="Book Antiqua" w:hAnsi="Book Antiqua"/>
          <w:b w:val="0"/>
          <w:bCs w:val="0"/>
          <w:sz w:val="22"/>
          <w:szCs w:val="22"/>
        </w:rPr>
        <w:t xml:space="preserve">Programa Mejoramiento Urbano y equipamiento comunal (PMU) </w:t>
      </w:r>
      <w:r w:rsidRPr="00781624">
        <w:rPr>
          <w:rFonts w:ascii="Book Antiqua" w:hAnsi="Book Antiqua" w:cs="Arial"/>
          <w:b w:val="0"/>
          <w:sz w:val="22"/>
          <w:szCs w:val="22"/>
          <w:shd w:val="clear" w:color="auto" w:fill="FFFFFF"/>
        </w:rPr>
        <w:t>es una línea de financiamiento del Ministerio del Interior, administrado por la SUBDERE, para proyectos de inversión en infraestructura menor urbana y equipamiento comunal (Instalación de mobiliario urbano en plazas; mantención de áreas verdes; reposición de veredas; habilitación de canchas deportivas; mejoramiento de sedes sociales etc.) cuyo objeto es colaborar en la generación de empleo y en el mejoramiento de la calidad de vida de la población más vulnerable del país.</w:t>
      </w:r>
      <w:r w:rsidRPr="00781624">
        <w:rPr>
          <w:rStyle w:val="Refdenotaalpie"/>
          <w:rFonts w:ascii="Book Antiqua" w:hAnsi="Book Antiqua" w:cs="Arial"/>
          <w:b w:val="0"/>
          <w:sz w:val="22"/>
          <w:szCs w:val="22"/>
          <w:shd w:val="clear" w:color="auto" w:fill="FFFFFF"/>
        </w:rPr>
        <w:footnoteReference w:id="1"/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A su turno, el Programa de Mejoramiento de Barrios (PMB) es un programa social, administrado por la SUBDERE y los Gobiernos Regionales, que opera bajo la modalidad de transferencias de recursos a otras entidades públicas y a través del Fondo Nacional de Desarrollo Regional, que otorga soluciones sanitarias a la población de escasos recursos del país que habita en condiciones de marginalidad sanitaria, entre otras: estudios para soluciones de agua potable; cambio o instalación de luminarias y mejoramiento de sistemas de alcantarillado.</w:t>
      </w:r>
      <w:r w:rsidRPr="00781624">
        <w:rPr>
          <w:rStyle w:val="Refdenotaalpie"/>
          <w:rFonts w:ascii="Book Antiqua" w:hAnsi="Book Antiqua"/>
          <w:b w:val="0"/>
          <w:sz w:val="22"/>
          <w:szCs w:val="22"/>
        </w:rPr>
        <w:footnoteReference w:id="2"/>
      </w: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 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Dado el impacto que tiene en la gestión municipal la asignación de estos recursos y los montos involucrados que entre los años 2014, 2015 y el primer semestre del 2016, alcanzaron los $ 410.465 millones de pesos</w:t>
      </w:r>
      <w:r w:rsidRPr="00781624">
        <w:rPr>
          <w:rStyle w:val="Refdenotaalpie"/>
          <w:rFonts w:ascii="Book Antiqua" w:hAnsi="Book Antiqua"/>
          <w:b w:val="0"/>
          <w:sz w:val="22"/>
          <w:szCs w:val="22"/>
        </w:rPr>
        <w:footnoteReference w:id="3"/>
      </w:r>
      <w:r w:rsidRPr="00781624">
        <w:rPr>
          <w:rStyle w:val="Refdenotaalpie"/>
          <w:rFonts w:ascii="Book Antiqua" w:hAnsi="Book Antiqua"/>
          <w:b w:val="0"/>
          <w:sz w:val="22"/>
          <w:szCs w:val="22"/>
        </w:rPr>
        <w:footnoteReference w:id="4"/>
      </w: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 (aproximadamente US$ 630 millones de dólares</w:t>
      </w:r>
      <w:r w:rsidRPr="00781624">
        <w:rPr>
          <w:rStyle w:val="Refdenotaalpie"/>
          <w:rFonts w:ascii="Book Antiqua" w:hAnsi="Book Antiqua"/>
          <w:b w:val="0"/>
          <w:sz w:val="22"/>
          <w:szCs w:val="22"/>
        </w:rPr>
        <w:footnoteReference w:id="5"/>
      </w: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 casi 16 veces lo que recaudó la Teletón el año pasado</w:t>
      </w:r>
      <w:r w:rsidRPr="00781624">
        <w:rPr>
          <w:rStyle w:val="Refdenotaalpie"/>
          <w:rFonts w:ascii="Book Antiqua" w:hAnsi="Book Antiqua"/>
          <w:b w:val="0"/>
          <w:sz w:val="22"/>
          <w:szCs w:val="22"/>
        </w:rPr>
        <w:footnoteReference w:id="6"/>
      </w: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)el presente estudio tiene por objeto determinar los criterios en virtud de los cuales se han asignado  estos recursos desde que </w:t>
      </w:r>
      <w:r w:rsidRPr="00781624">
        <w:rPr>
          <w:rFonts w:ascii="Book Antiqua" w:hAnsi="Book Antiqua"/>
          <w:b w:val="0"/>
          <w:sz w:val="22"/>
          <w:szCs w:val="22"/>
          <w:lang w:val="es-CL"/>
        </w:rPr>
        <w:lastRenderedPageBreak/>
        <w:t>asumió la Nueva Mayoría, poniendo especial énfasis en los eventuales sesgos políticos en la asignación de estos recursos.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Para realizar este estudio se agruparon los 345 municipios de Chile en 5 categorías:</w:t>
      </w:r>
    </w:p>
    <w:p w:rsidR="001C585E" w:rsidRPr="00781624" w:rsidRDefault="001C585E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Pr="00781624" w:rsidRDefault="00781624" w:rsidP="007A2F37">
      <w:pPr>
        <w:pStyle w:val="Ttulo2"/>
        <w:numPr>
          <w:ilvl w:val="0"/>
          <w:numId w:val="2"/>
        </w:numPr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Aquellas Municipalidades cuyos Alcaldes, actualmente en ejercicio, fueron electos el año 2012 al alero de alguna lista o pacto político de la Nueva Mayoría.</w:t>
      </w:r>
    </w:p>
    <w:p w:rsidR="00781624" w:rsidRPr="00781624" w:rsidRDefault="00781624" w:rsidP="007A2F37">
      <w:pPr>
        <w:pStyle w:val="Ttulo2"/>
        <w:numPr>
          <w:ilvl w:val="0"/>
          <w:numId w:val="2"/>
        </w:numPr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 Aquellas Municipalidades cuyos Alcaldes, actualmente en ejercicio, fueron electos el año 2012 al alero de alguna lista o pacto político de la Coalición por el Cambio (actualmente Chile Vamos).</w:t>
      </w:r>
    </w:p>
    <w:p w:rsidR="00781624" w:rsidRPr="00781624" w:rsidRDefault="00781624" w:rsidP="007A2F37">
      <w:pPr>
        <w:pStyle w:val="Ttulo2"/>
        <w:numPr>
          <w:ilvl w:val="0"/>
          <w:numId w:val="2"/>
        </w:numPr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Aquellas Municipalidades cuyos Alcaldes, actualmente en ejercicio, fueron electos el año 2012 al alero de alguna lista o pacto político del Partido Progresista o PRO.</w:t>
      </w:r>
    </w:p>
    <w:p w:rsidR="00781624" w:rsidRPr="00781624" w:rsidRDefault="00781624" w:rsidP="007A2F37">
      <w:pPr>
        <w:pStyle w:val="Ttulo2"/>
        <w:numPr>
          <w:ilvl w:val="0"/>
          <w:numId w:val="2"/>
        </w:numPr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Aquellas Municipalidades cuyos Alcaldes, actualmente en ejercicio, fueron electos el año 2012 fuera de algún pacto político, pero que han expresado en forma pública, clara, categórica e indubitada su adhesión a un sector determinado.</w:t>
      </w:r>
    </w:p>
    <w:p w:rsidR="00781624" w:rsidRPr="00781624" w:rsidRDefault="00781624" w:rsidP="007A2F37">
      <w:pPr>
        <w:pStyle w:val="Ttulo2"/>
        <w:numPr>
          <w:ilvl w:val="0"/>
          <w:numId w:val="2"/>
        </w:numPr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  Aquellas Municipalidades cuyos Alcaldes, actualmente en ejercicio, fueron electos el año 2012 fuera de algún pacto político y que no han manifestado su adhesión a alguno de los conglomerados.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 xml:space="preserve">Para determinar un standard de ecuanimidad mínimo o razonable en la asignación de los recursos se utilizó el parámetro de la población gobernada por cada coalición, es decir, el número de habitantes que cada comuna posee y que se encuentra administrada por un determinado Alcalde, el cual a su turno adhiere a un determinado sector político; toda vez que resulta evidente que habrá lógicas diferencias en la asignación de recursos a municipios con mayor población respecto de aquellos que tienen menor número de habitantes.   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Pr="003820F7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sz w:val="22"/>
          <w:szCs w:val="22"/>
          <w:u w:val="single"/>
          <w:lang w:val="es-CL"/>
        </w:rPr>
      </w:pPr>
      <w:r w:rsidRPr="003820F7">
        <w:rPr>
          <w:rFonts w:ascii="Book Antiqua" w:hAnsi="Book Antiqua"/>
          <w:sz w:val="22"/>
          <w:szCs w:val="22"/>
          <w:u w:val="single"/>
          <w:lang w:val="es-CL"/>
        </w:rPr>
        <w:t>CONCLUSIONES</w:t>
      </w: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781624" w:rsidRPr="00781624" w:rsidRDefault="00781624" w:rsidP="007A2F37">
      <w:pPr>
        <w:pStyle w:val="Ttulo2"/>
        <w:spacing w:before="0" w:beforeAutospacing="0" w:after="150" w:afterAutospacing="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781624">
        <w:rPr>
          <w:rFonts w:ascii="Book Antiqua" w:hAnsi="Book Antiqua"/>
          <w:b w:val="0"/>
          <w:sz w:val="22"/>
          <w:szCs w:val="22"/>
          <w:lang w:val="es-CL"/>
        </w:rPr>
        <w:t>Resulta absolutamente inexplicable que: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>
        <w:rPr>
          <w:rFonts w:ascii="Book Antiqua" w:hAnsi="Book Antiqua"/>
          <w:b w:val="0"/>
          <w:sz w:val="22"/>
          <w:szCs w:val="22"/>
          <w:lang w:val="es-CL"/>
        </w:rPr>
        <w:t>1.-  Mientras el 2014, primer año de gobierno de la Nueva Mayorí</w:t>
      </w:r>
      <w:r w:rsidR="003820F7">
        <w:rPr>
          <w:rFonts w:ascii="Book Antiqua" w:hAnsi="Book Antiqua"/>
          <w:b w:val="0"/>
          <w:sz w:val="22"/>
          <w:szCs w:val="22"/>
          <w:lang w:val="es-CL"/>
        </w:rPr>
        <w:t xml:space="preserve">a, </w:t>
      </w:r>
      <w:r>
        <w:rPr>
          <w:rFonts w:ascii="Book Antiqua" w:hAnsi="Book Antiqua"/>
          <w:b w:val="0"/>
          <w:sz w:val="22"/>
          <w:szCs w:val="22"/>
          <w:lang w:val="es-CL"/>
        </w:rPr>
        <w:t xml:space="preserve">los recursos de los Programas PMU y PMB se asignaron en un 57% a la Nueva Mayoría </w:t>
      </w:r>
      <w:proofErr w:type="gramStart"/>
      <w:r>
        <w:rPr>
          <w:rFonts w:ascii="Book Antiqua" w:hAnsi="Book Antiqua"/>
          <w:b w:val="0"/>
          <w:sz w:val="22"/>
          <w:szCs w:val="22"/>
          <w:lang w:val="es-CL"/>
        </w:rPr>
        <w:t>y  un</w:t>
      </w:r>
      <w:proofErr w:type="gramEnd"/>
      <w:r>
        <w:rPr>
          <w:rFonts w:ascii="Book Antiqua" w:hAnsi="Book Antiqua"/>
          <w:b w:val="0"/>
          <w:sz w:val="22"/>
          <w:szCs w:val="22"/>
          <w:lang w:val="es-CL"/>
        </w:rPr>
        <w:t xml:space="preserve"> 38% a comunas cuyo Alcalde adhiere a la Chile Vamos; el primer semestre del año 2016, año electoral, esto cambio drásticamente sin motivo objetivo alguno asignándose, un 69,1% de los recursos a comunas cuyo Alcalde adhiere a la Nueva Mayoría y apenas un 27,8%  de los recursos a comunas cuyo Alcalde adhiere a la Chile Vamos.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>
        <w:rPr>
          <w:rFonts w:ascii="Book Antiqua" w:hAnsi="Book Antiqua"/>
          <w:b w:val="0"/>
          <w:sz w:val="22"/>
          <w:szCs w:val="22"/>
          <w:lang w:val="es-CL"/>
        </w:rPr>
        <w:t>2.- Al analizar la evolución de los porcentajes de recursos asignados por la SUBDERE del actual Gobierno a las comunas cuyo Alcalde adhiere a la Nueva Mayoría, se comprueba fácilmente qu</w:t>
      </w:r>
      <w:r w:rsidR="003820F7">
        <w:rPr>
          <w:rFonts w:ascii="Book Antiqua" w:hAnsi="Book Antiqua"/>
          <w:b w:val="0"/>
          <w:sz w:val="22"/>
          <w:szCs w:val="22"/>
          <w:lang w:val="es-CL"/>
        </w:rPr>
        <w:t xml:space="preserve">e este aumenta ostensiblemente año a año </w:t>
      </w:r>
      <w:r>
        <w:rPr>
          <w:rFonts w:ascii="Book Antiqua" w:hAnsi="Book Antiqua"/>
          <w:b w:val="0"/>
          <w:sz w:val="22"/>
          <w:szCs w:val="22"/>
          <w:lang w:val="es-CL"/>
        </w:rPr>
        <w:t xml:space="preserve">y, por el contrario, </w:t>
      </w:r>
      <w:r>
        <w:rPr>
          <w:rFonts w:ascii="Book Antiqua" w:hAnsi="Book Antiqua"/>
          <w:b w:val="0"/>
          <w:sz w:val="22"/>
          <w:szCs w:val="22"/>
          <w:lang w:val="es-CL"/>
        </w:rPr>
        <w:lastRenderedPageBreak/>
        <w:t xml:space="preserve">el porcentaje de recursos asignados año a año a las comunas cuyo </w:t>
      </w:r>
      <w:r w:rsidR="003F3638">
        <w:rPr>
          <w:rFonts w:ascii="Book Antiqua" w:hAnsi="Book Antiqua"/>
          <w:b w:val="0"/>
          <w:sz w:val="22"/>
          <w:szCs w:val="22"/>
          <w:lang w:val="es-CL"/>
        </w:rPr>
        <w:t xml:space="preserve">Alcalde adhiere a Chile Vamos, </w:t>
      </w:r>
      <w:bookmarkStart w:id="0" w:name="_GoBack"/>
      <w:bookmarkEnd w:id="0"/>
      <w:r>
        <w:rPr>
          <w:rFonts w:ascii="Book Antiqua" w:hAnsi="Book Antiqua"/>
          <w:b w:val="0"/>
          <w:sz w:val="22"/>
          <w:szCs w:val="22"/>
          <w:lang w:val="es-CL"/>
        </w:rPr>
        <w:t xml:space="preserve">sin existir motivo </w:t>
      </w:r>
      <w:r w:rsidRPr="00BE3F29">
        <w:rPr>
          <w:rFonts w:ascii="Book Antiqua" w:hAnsi="Book Antiqua"/>
          <w:b w:val="0"/>
          <w:sz w:val="22"/>
          <w:szCs w:val="22"/>
          <w:lang w:val="es-CL"/>
        </w:rPr>
        <w:t>objetivo alguno</w:t>
      </w:r>
      <w:r>
        <w:rPr>
          <w:rFonts w:ascii="Book Antiqua" w:hAnsi="Book Antiqua"/>
          <w:b w:val="0"/>
          <w:sz w:val="22"/>
          <w:szCs w:val="22"/>
          <w:lang w:val="es-CL"/>
        </w:rPr>
        <w:t>,</w:t>
      </w:r>
      <w:r w:rsidRPr="00BE3F29">
        <w:rPr>
          <w:rFonts w:ascii="Book Antiqua" w:hAnsi="Book Antiqua"/>
          <w:b w:val="0"/>
          <w:sz w:val="22"/>
          <w:szCs w:val="22"/>
          <w:lang w:val="es-CL"/>
        </w:rPr>
        <w:t xml:space="preserve"> </w:t>
      </w:r>
      <w:r>
        <w:rPr>
          <w:rFonts w:ascii="Book Antiqua" w:hAnsi="Book Antiqua"/>
          <w:b w:val="0"/>
          <w:sz w:val="22"/>
          <w:szCs w:val="22"/>
          <w:lang w:val="es-CL"/>
        </w:rPr>
        <w:t xml:space="preserve">disminuye. 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 w:rsidRPr="00BE3F29">
        <w:rPr>
          <w:rFonts w:ascii="Book Antiqua" w:hAnsi="Book Antiqua"/>
          <w:b w:val="0"/>
          <w:sz w:val="22"/>
          <w:szCs w:val="22"/>
          <w:lang w:val="es-CL"/>
        </w:rPr>
        <w:t xml:space="preserve">En el caso de los </w:t>
      </w:r>
      <w:r>
        <w:rPr>
          <w:rFonts w:ascii="Book Antiqua" w:hAnsi="Book Antiqua"/>
          <w:b w:val="0"/>
          <w:sz w:val="22"/>
          <w:szCs w:val="22"/>
          <w:lang w:val="es-CL"/>
        </w:rPr>
        <w:t>PMB</w:t>
      </w:r>
      <w:r w:rsidRPr="00BE3F29">
        <w:rPr>
          <w:rFonts w:ascii="Book Antiqua" w:hAnsi="Book Antiqua"/>
          <w:b w:val="0"/>
          <w:sz w:val="22"/>
          <w:szCs w:val="22"/>
          <w:lang w:val="es-CL"/>
        </w:rPr>
        <w:t xml:space="preserve"> los recursos asignados a comunas cuyo Alcalde adhiere a la Nueva Mayoría suben de un 57.1% el año 2014 a un 74.9% el año de las elecciones (primer semestre de 2016). Mientras que los recursos asignados a comunas cuyo Alcalde adhiere a Chile Vamos bajan de un 37.6% el año 2014 a un 17.2% el primer semestre de 2016.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>
        <w:rPr>
          <w:rFonts w:ascii="Book Antiqua" w:hAnsi="Book Antiqua"/>
          <w:b w:val="0"/>
          <w:sz w:val="22"/>
          <w:szCs w:val="22"/>
          <w:lang w:val="es-CL"/>
        </w:rPr>
        <w:t>En el caso de los PMU los recursos asignados a comunas cuyo Alcalde adhiere a la Nueva Mayoría suben de un 58.3% el año 2014 a un 66% el año de las elecciones (primer semestre de 2016). Mientras que los recursos asignados a comunas cuyo Alcalde adhiere a Chile Vamos bajan de un 38.3% el año 2014 a un 33.6%.  el primer semestre de 2016.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>
        <w:rPr>
          <w:rFonts w:ascii="Book Antiqua" w:hAnsi="Book Antiqua"/>
          <w:b w:val="0"/>
          <w:sz w:val="22"/>
          <w:szCs w:val="22"/>
          <w:lang w:val="es-CL"/>
        </w:rPr>
        <w:t xml:space="preserve">3.- </w:t>
      </w:r>
      <w:r w:rsidRPr="006107C4">
        <w:rPr>
          <w:rFonts w:ascii="Book Antiqua" w:hAnsi="Book Antiqua"/>
          <w:b w:val="0"/>
          <w:sz w:val="22"/>
          <w:szCs w:val="22"/>
          <w:lang w:val="es-CL"/>
        </w:rPr>
        <w:t>Resulta inexplicable que, precisamente en el año electoral, se alteren bruscamente los criterios de asignación de estos recursos destinados a necesidades sociales, En conjunto de las dos líneas</w:t>
      </w:r>
      <w:r>
        <w:rPr>
          <w:rFonts w:ascii="Book Antiqua" w:hAnsi="Book Antiqua"/>
          <w:b w:val="0"/>
          <w:sz w:val="22"/>
          <w:szCs w:val="22"/>
          <w:lang w:val="es-CL"/>
        </w:rPr>
        <w:t xml:space="preserve"> de financiamiento de SUBDERE, </w:t>
      </w:r>
      <w:r w:rsidRPr="006107C4">
        <w:rPr>
          <w:rFonts w:ascii="Book Antiqua" w:hAnsi="Book Antiqua"/>
          <w:b w:val="0"/>
          <w:sz w:val="22"/>
          <w:szCs w:val="22"/>
          <w:lang w:val="es-CL"/>
        </w:rPr>
        <w:t xml:space="preserve">el año 2016 un 69.1% de los recursos se asignaron a comunas cuyo Alcalde adhiere a la Nueva Mayoría y apenas un 27, 8% de los recursos fueron a comunas cuyo Alcalde adhiere a la Chile Vamos. Esta distribución es abiertamente desproporcionada si consideramos que la población perteneciente a las comunas gobernadas por alcaldes de </w:t>
      </w:r>
      <w:proofErr w:type="spellStart"/>
      <w:r w:rsidRPr="006107C4">
        <w:rPr>
          <w:rFonts w:ascii="Book Antiqua" w:hAnsi="Book Antiqua"/>
          <w:b w:val="0"/>
          <w:sz w:val="22"/>
          <w:szCs w:val="22"/>
          <w:lang w:val="es-CL"/>
        </w:rPr>
        <w:t>ChileVamos</w:t>
      </w:r>
      <w:proofErr w:type="spellEnd"/>
      <w:r w:rsidRPr="006107C4">
        <w:rPr>
          <w:rFonts w:ascii="Book Antiqua" w:hAnsi="Book Antiqua"/>
          <w:b w:val="0"/>
          <w:sz w:val="22"/>
          <w:szCs w:val="22"/>
          <w:lang w:val="es-CL"/>
        </w:rPr>
        <w:t xml:space="preserve"> supera el 42% y en el caso de la Nueva Mayoría solo a un 54%.  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>
        <w:rPr>
          <w:rFonts w:ascii="Book Antiqua" w:hAnsi="Book Antiqua"/>
          <w:b w:val="0"/>
          <w:sz w:val="22"/>
          <w:szCs w:val="22"/>
          <w:lang w:val="es-CL"/>
        </w:rPr>
        <w:t>4.- Es más, cuando se analiza la inversión per cápita de los proyectos las diferencias también son dramáticas: El primer semestre del año 2016 la inversión per cápita en las comunas cuyo Alcalde adhiere a la Nueva Mayoría alcanzó a los $ 9.122 por persona; mientras que en el caso de las comunas cuyo Alcalde adhiere a Chile Vamos apenas alcanzó a los $ 4.723 per persona es decir la mitad la Nueva Mayoría.</w:t>
      </w:r>
    </w:p>
    <w:p w:rsidR="000732D8" w:rsidRDefault="000732D8" w:rsidP="007A2F37">
      <w:pPr>
        <w:pStyle w:val="Ttulo2"/>
        <w:spacing w:before="0" w:beforeAutospacing="0" w:after="150" w:afterAutospacing="0"/>
        <w:ind w:left="360"/>
        <w:jc w:val="both"/>
        <w:rPr>
          <w:rFonts w:ascii="Book Antiqua" w:hAnsi="Book Antiqua"/>
          <w:b w:val="0"/>
          <w:sz w:val="22"/>
          <w:szCs w:val="22"/>
          <w:lang w:val="es-CL"/>
        </w:rPr>
      </w:pPr>
      <w:r>
        <w:rPr>
          <w:rFonts w:ascii="Book Antiqua" w:hAnsi="Book Antiqua"/>
          <w:b w:val="0"/>
          <w:sz w:val="22"/>
          <w:szCs w:val="22"/>
          <w:lang w:val="es-CL"/>
        </w:rPr>
        <w:t>5.- Finalmente, al analizar las 10 comunas con más electores del país y si sumamos las comunas catalogadas por ambas coaliciones como emblemáticas, donde se juega el resultado de la próxima elección municipal de este año</w:t>
      </w:r>
      <w:r>
        <w:rPr>
          <w:rStyle w:val="Refdenotaalpie"/>
          <w:rFonts w:ascii="Book Antiqua" w:hAnsi="Book Antiqua"/>
          <w:b w:val="0"/>
          <w:sz w:val="22"/>
          <w:szCs w:val="22"/>
        </w:rPr>
        <w:footnoteReference w:id="7"/>
      </w:r>
      <w:r>
        <w:rPr>
          <w:rFonts w:ascii="Book Antiqua" w:hAnsi="Book Antiqua"/>
          <w:b w:val="0"/>
          <w:sz w:val="22"/>
          <w:szCs w:val="22"/>
          <w:lang w:val="es-CL"/>
        </w:rPr>
        <w:t xml:space="preserve"> , el sesgo político en la asignación de los recursos es aún más evidente. El año 2016 un 90% de los recursos se asignaron a comunas cuyo Alcalde adhiere a la Nueva Mayoría y apenas un 10% de los recursos fueron a comunas cuyo Alcalde adhiere a la Chile Vamos.</w:t>
      </w:r>
    </w:p>
    <w:p w:rsidR="00781624" w:rsidRDefault="00781624" w:rsidP="007A2F37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BB259B" w:rsidRDefault="00BB259B" w:rsidP="007A2F37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BB259B" w:rsidRDefault="00BB259B" w:rsidP="00472F03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BB259B" w:rsidRDefault="00BB259B" w:rsidP="00472F03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AC5E5F" w:rsidRDefault="00AC5E5F" w:rsidP="00472F03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BB259B" w:rsidRDefault="00BB259B" w:rsidP="00472F03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AC5E5F" w:rsidRPr="00781624" w:rsidRDefault="00AC5E5F" w:rsidP="00472F03">
      <w:pPr>
        <w:pStyle w:val="Ttulo2"/>
        <w:spacing w:before="0" w:beforeAutospacing="0" w:after="150" w:afterAutospacing="0"/>
        <w:ind w:left="720"/>
        <w:jc w:val="both"/>
        <w:rPr>
          <w:rFonts w:ascii="Book Antiqua" w:hAnsi="Book Antiqua"/>
          <w:b w:val="0"/>
          <w:sz w:val="22"/>
          <w:szCs w:val="22"/>
          <w:lang w:val="es-CL"/>
        </w:rPr>
      </w:pPr>
    </w:p>
    <w:p w:rsidR="00BB259B" w:rsidRPr="005711E9" w:rsidRDefault="00BB259B" w:rsidP="00472F03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Book Antiqua" w:hAnsi="Book Antiqua"/>
          <w:b/>
          <w:bCs/>
          <w:sz w:val="22"/>
          <w:szCs w:val="22"/>
          <w:u w:val="single"/>
          <w:lang w:eastAsia="es-ES"/>
        </w:rPr>
      </w:pPr>
      <w:r w:rsidRPr="005711E9">
        <w:rPr>
          <w:rFonts w:ascii="Book Antiqua" w:hAnsi="Book Antiqua"/>
          <w:b/>
          <w:bCs/>
          <w:sz w:val="22"/>
          <w:szCs w:val="22"/>
          <w:u w:val="single"/>
          <w:lang w:eastAsia="es-ES"/>
        </w:rPr>
        <w:lastRenderedPageBreak/>
        <w:t>EVOLUCION DE RECURSOS ASIGNADOS (PMU y PMB) A PRINCIPALES COALICIONES (2014-2016)</w:t>
      </w:r>
    </w:p>
    <w:p w:rsidR="00781624" w:rsidRPr="00781624" w:rsidRDefault="00781624" w:rsidP="00781624">
      <w:pPr>
        <w:jc w:val="center"/>
        <w:rPr>
          <w:rFonts w:ascii="Book Antiqua" w:hAnsi="Book Antiqua"/>
          <w:sz w:val="18"/>
        </w:rPr>
      </w:pPr>
      <w:r w:rsidRPr="00781624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D3368" wp14:editId="116A0815">
                <wp:simplePos x="0" y="0"/>
                <wp:positionH relativeFrom="column">
                  <wp:posOffset>4001770</wp:posOffset>
                </wp:positionH>
                <wp:positionV relativeFrom="paragraph">
                  <wp:posOffset>1083945</wp:posOffset>
                </wp:positionV>
                <wp:extent cx="468630" cy="476885"/>
                <wp:effectExtent l="0" t="0" r="0" b="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4768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1624" w:rsidRDefault="00781624" w:rsidP="00781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7319">
                              <w:rPr>
                                <w:rFonts w:ascii="Book Antiqua" w:hAnsi="Book Antiqua"/>
                                <w:color w:val="000000"/>
                                <w:sz w:val="16"/>
                                <w:szCs w:val="16"/>
                              </w:rPr>
                              <w:t>2,5 veces</w:t>
                            </w:r>
                          </w:p>
                        </w:txbxContent>
                      </wps:txbx>
                      <wps:bodyPr vert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D3368" id="Rectángulo 12" o:spid="_x0000_s1026" style="position:absolute;left:0;text-align:left;margin-left:315.1pt;margin-top:85.35pt;width:36.9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" filled="f" stroked="f" strokeweight="1pt">
                <v:path arrowok="t"/>
                <v:textbox>
                  <w:txbxContent>
                    <w:p w:rsidR="00781624" w:rsidRDefault="00781624" w:rsidP="0078162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87319">
                        <w:rPr>
                          <w:rFonts w:ascii="Book Antiqua" w:hAnsi="Book Antiqua"/>
                          <w:color w:val="000000"/>
                          <w:sz w:val="16"/>
                          <w:szCs w:val="16"/>
                        </w:rPr>
                        <w:t>2,5 veces</w:t>
                      </w:r>
                    </w:p>
                  </w:txbxContent>
                </v:textbox>
              </v:rect>
            </w:pict>
          </mc:Fallback>
        </mc:AlternateContent>
      </w:r>
      <w:r w:rsidRPr="00781624">
        <w:rPr>
          <w:noProof/>
          <w:lang w:val="es-ES" w:eastAsia="es-ES"/>
        </w:rPr>
        <w:drawing>
          <wp:inline distT="0" distB="0" distL="0" distR="0" wp14:anchorId="2BC4D0C4" wp14:editId="3889BF74">
            <wp:extent cx="3067050" cy="2409825"/>
            <wp:effectExtent l="0" t="0" r="0" b="0"/>
            <wp:docPr id="9" name="Gráfico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1624" w:rsidRPr="00781624" w:rsidRDefault="00781624" w:rsidP="00781624">
      <w:pPr>
        <w:jc w:val="center"/>
        <w:rPr>
          <w:rFonts w:ascii="Book Antiqua" w:hAnsi="Book Antiqua"/>
          <w:sz w:val="18"/>
        </w:rPr>
      </w:pPr>
    </w:p>
    <w:p w:rsidR="003820F7" w:rsidRPr="00781624" w:rsidRDefault="003820F7" w:rsidP="003820F7">
      <w:pPr>
        <w:jc w:val="right"/>
        <w:rPr>
          <w:rFonts w:ascii="Book Antiqua" w:hAnsi="Book Antiqua"/>
          <w:sz w:val="18"/>
        </w:rPr>
      </w:pPr>
      <w:r w:rsidRPr="00781624">
        <w:rPr>
          <w:rFonts w:ascii="Book Antiqua" w:hAnsi="Book Antiqua"/>
          <w:sz w:val="18"/>
        </w:rPr>
        <w:t xml:space="preserve">Fuente: Elaboración propia con datos de SINIM. </w:t>
      </w:r>
    </w:p>
    <w:p w:rsidR="00781624" w:rsidRPr="00781624" w:rsidRDefault="00781624" w:rsidP="00781624">
      <w:pPr>
        <w:spacing w:after="200" w:line="276" w:lineRule="auto"/>
        <w:jc w:val="center"/>
        <w:rPr>
          <w:rFonts w:ascii="Book Antiqua" w:hAnsi="Book Antiqua"/>
          <w:b/>
          <w:sz w:val="22"/>
        </w:rPr>
      </w:pPr>
    </w:p>
    <w:p w:rsidR="00BB259B" w:rsidRPr="004F2BD7" w:rsidRDefault="00BB259B" w:rsidP="00BB259B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sz w:val="22"/>
        </w:rPr>
        <w:t xml:space="preserve">El gráfico </w:t>
      </w:r>
      <w:r w:rsidRPr="004F2BD7">
        <w:rPr>
          <w:rFonts w:ascii="Book Antiqua" w:hAnsi="Book Antiqua"/>
          <w:bCs/>
          <w:sz w:val="22"/>
          <w:szCs w:val="22"/>
          <w:lang w:eastAsia="es-ES"/>
        </w:rPr>
        <w:t xml:space="preserve">muestra </w:t>
      </w:r>
      <w:r>
        <w:rPr>
          <w:rFonts w:ascii="Book Antiqua" w:hAnsi="Book Antiqua"/>
          <w:bCs/>
          <w:sz w:val="22"/>
          <w:szCs w:val="22"/>
          <w:lang w:eastAsia="es-ES"/>
        </w:rPr>
        <w:t>la distribución del total de los recursos los años 2014, 2015 y 2016, donde se comprueba el aumento sostenido de los recursos dirigidos a las comunas cuyos Alcaldes adhieren a la Nueva Mayoría y, por el contrario, el continuo descenso de la asignación de recursos a las comunas cuya máxima autoridad es afín a Chile Vamos.</w:t>
      </w:r>
      <w:r w:rsidRPr="004F2BD7">
        <w:rPr>
          <w:rFonts w:ascii="Book Antiqua" w:hAnsi="Book Antiqua"/>
          <w:bCs/>
          <w:sz w:val="22"/>
          <w:szCs w:val="22"/>
          <w:lang w:eastAsia="es-ES"/>
        </w:rPr>
        <w:t xml:space="preserve"> </w:t>
      </w:r>
    </w:p>
    <w:p w:rsidR="005711E9" w:rsidRDefault="00BB259B" w:rsidP="00BB259B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>Cabe resaltar que el 2016 la proporción de los recursos a las comunas cuyo Alcalde es adhiere a la Nueva Mayoría es 2.5 veces superior a la proporción de recursos asignados a comunas cuyo Alcalde es adherente a Chile Vamos.</w:t>
      </w:r>
      <w:r w:rsidRPr="004F2BD7">
        <w:rPr>
          <w:rFonts w:ascii="Book Antiqua" w:hAnsi="Book Antiqua"/>
          <w:bCs/>
          <w:sz w:val="22"/>
          <w:szCs w:val="22"/>
          <w:lang w:eastAsia="es-ES"/>
        </w:rPr>
        <w:t xml:space="preserve"> </w:t>
      </w:r>
    </w:p>
    <w:p w:rsidR="005711E9" w:rsidRPr="004F2BD7" w:rsidRDefault="005711E9" w:rsidP="00BB259B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Pr="005711E9" w:rsidRDefault="0048113F" w:rsidP="005711E9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Book Antiqua" w:hAnsi="Book Antiqua"/>
          <w:b/>
          <w:sz w:val="22"/>
          <w:u w:val="single"/>
        </w:rPr>
      </w:pPr>
      <w:r w:rsidRPr="005711E9">
        <w:rPr>
          <w:rFonts w:ascii="Book Antiqua" w:hAnsi="Book Antiqua"/>
          <w:b/>
          <w:sz w:val="22"/>
          <w:u w:val="single"/>
        </w:rPr>
        <w:t xml:space="preserve">EVOLUCIÓN DE LOS RECURSOS ASIGNADOS PMB </w:t>
      </w:r>
      <w:r w:rsidR="005711E9">
        <w:rPr>
          <w:rFonts w:ascii="Book Antiqua" w:hAnsi="Book Antiqua"/>
          <w:b/>
          <w:sz w:val="22"/>
          <w:u w:val="single"/>
        </w:rPr>
        <w:t>PARA</w:t>
      </w:r>
      <w:r w:rsidRPr="005711E9">
        <w:rPr>
          <w:rFonts w:ascii="Book Antiqua" w:hAnsi="Book Antiqua"/>
          <w:b/>
          <w:sz w:val="22"/>
          <w:u w:val="single"/>
        </w:rPr>
        <w:t xml:space="preserve"> PRINCIPALES COALICIONES</w:t>
      </w:r>
    </w:p>
    <w:p w:rsidR="0048113F" w:rsidRPr="00032E38" w:rsidRDefault="0048113F" w:rsidP="0048113F">
      <w:pPr>
        <w:jc w:val="center"/>
        <w:rPr>
          <w:noProof/>
          <w:lang w:eastAsia="es-ES"/>
        </w:rPr>
      </w:pPr>
    </w:p>
    <w:p w:rsidR="0048113F" w:rsidRPr="00781624" w:rsidRDefault="0048113F" w:rsidP="0048113F">
      <w:pPr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2576" behindDoc="1" locked="0" layoutInCell="1" allowOverlap="1" wp14:anchorId="16854ABC" wp14:editId="4745CC82">
            <wp:simplePos x="0" y="0"/>
            <wp:positionH relativeFrom="column">
              <wp:posOffset>2910840</wp:posOffset>
            </wp:positionH>
            <wp:positionV relativeFrom="paragraph">
              <wp:posOffset>113664</wp:posOffset>
            </wp:positionV>
            <wp:extent cx="3457575" cy="1971675"/>
            <wp:effectExtent l="0" t="0" r="9525" b="9525"/>
            <wp:wrapNone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71552" behindDoc="1" locked="0" layoutInCell="1" allowOverlap="1" wp14:anchorId="58CAF60F" wp14:editId="5F814447">
            <wp:simplePos x="0" y="0"/>
            <wp:positionH relativeFrom="column">
              <wp:posOffset>-680085</wp:posOffset>
            </wp:positionH>
            <wp:positionV relativeFrom="paragraph">
              <wp:posOffset>113665</wp:posOffset>
            </wp:positionV>
            <wp:extent cx="3409950" cy="1971675"/>
            <wp:effectExtent l="0" t="0" r="0" b="9525"/>
            <wp:wrapNone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13F" w:rsidRPr="00781624" w:rsidRDefault="0048113F" w:rsidP="0048113F">
      <w:pPr>
        <w:jc w:val="center"/>
        <w:rPr>
          <w:noProof/>
          <w:lang w:val="es-ES" w:eastAsia="es-ES"/>
        </w:rPr>
      </w:pPr>
    </w:p>
    <w:p w:rsidR="0048113F" w:rsidRPr="00781624" w:rsidRDefault="0048113F" w:rsidP="0048113F">
      <w:pPr>
        <w:jc w:val="center"/>
        <w:rPr>
          <w:noProof/>
          <w:lang w:val="es-ES" w:eastAsia="es-ES"/>
        </w:rPr>
      </w:pPr>
    </w:p>
    <w:p w:rsidR="0048113F" w:rsidRPr="00781624" w:rsidRDefault="0048113F" w:rsidP="0048113F">
      <w:pPr>
        <w:jc w:val="center"/>
        <w:rPr>
          <w:noProof/>
          <w:lang w:val="es-ES" w:eastAsia="es-ES"/>
        </w:rPr>
      </w:pPr>
    </w:p>
    <w:p w:rsidR="0048113F" w:rsidRDefault="0048113F" w:rsidP="0048113F">
      <w:pPr>
        <w:jc w:val="center"/>
        <w:rPr>
          <w:rFonts w:ascii="Book Antiqua" w:hAnsi="Book Antiqua"/>
          <w:sz w:val="18"/>
        </w:rPr>
      </w:pPr>
    </w:p>
    <w:p w:rsidR="0048113F" w:rsidRPr="00781624" w:rsidRDefault="0048113F" w:rsidP="0048113F">
      <w:pPr>
        <w:jc w:val="center"/>
        <w:rPr>
          <w:rFonts w:ascii="Book Antiqua" w:hAnsi="Book Antiqua"/>
          <w:sz w:val="18"/>
        </w:rPr>
      </w:pPr>
    </w:p>
    <w:p w:rsidR="0048113F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Pr="005711E9" w:rsidRDefault="0048113F" w:rsidP="005711E9">
      <w:pPr>
        <w:jc w:val="both"/>
        <w:rPr>
          <w:rFonts w:ascii="Book Antiqua" w:hAnsi="Book Antiqua"/>
          <w:b/>
          <w:sz w:val="22"/>
          <w:szCs w:val="22"/>
        </w:rPr>
      </w:pPr>
    </w:p>
    <w:p w:rsidR="0048113F" w:rsidRPr="00781624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Pr="00781624" w:rsidRDefault="0048113F" w:rsidP="0048113F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3600" behindDoc="1" locked="0" layoutInCell="1" allowOverlap="1" wp14:anchorId="45856C17" wp14:editId="0638B2AB">
            <wp:simplePos x="0" y="0"/>
            <wp:positionH relativeFrom="column">
              <wp:posOffset>1090930</wp:posOffset>
            </wp:positionH>
            <wp:positionV relativeFrom="paragraph">
              <wp:posOffset>-242570</wp:posOffset>
            </wp:positionV>
            <wp:extent cx="4181475" cy="2419350"/>
            <wp:effectExtent l="0" t="0" r="9525" b="0"/>
            <wp:wrapNone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3820F7" w:rsidRPr="00781624" w:rsidRDefault="003820F7" w:rsidP="003820F7">
      <w:pPr>
        <w:jc w:val="right"/>
        <w:rPr>
          <w:rFonts w:ascii="Book Antiqua" w:hAnsi="Book Antiqua"/>
          <w:sz w:val="18"/>
        </w:rPr>
      </w:pPr>
      <w:r w:rsidRPr="00781624">
        <w:rPr>
          <w:rFonts w:ascii="Book Antiqua" w:hAnsi="Book Antiqua"/>
          <w:sz w:val="18"/>
        </w:rPr>
        <w:t xml:space="preserve">Fuente: Elaboración propia con datos de SINIM. </w:t>
      </w:r>
    </w:p>
    <w:p w:rsidR="003820F7" w:rsidRDefault="003820F7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48113F" w:rsidRPr="00781624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 w:rsidRPr="00781624">
        <w:rPr>
          <w:rFonts w:ascii="Book Antiqua" w:hAnsi="Book Antiqua"/>
          <w:bCs/>
          <w:sz w:val="22"/>
          <w:szCs w:val="22"/>
          <w:lang w:eastAsia="es-ES"/>
        </w:rPr>
        <w:t>Los gráficos muestran la distribución del total de los recursos del Programa PMB para los años 2014, 2015 y 2016 donde se aprecia claramente el aumento sostenido de los recursos dirigidos a las comunas cuyos Alcaldes adhieren a la Nueva Mayoría y, por el contrario, el continuo descenso de asignación de recursos a las comunas cuya máxima autoridad es afín a Chile Vamos.</w:t>
      </w:r>
    </w:p>
    <w:p w:rsidR="0048113F" w:rsidRPr="00781624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 w:rsidRPr="00781624">
        <w:rPr>
          <w:rFonts w:ascii="Book Antiqua" w:hAnsi="Book Antiqua"/>
          <w:bCs/>
          <w:sz w:val="22"/>
          <w:szCs w:val="22"/>
          <w:lang w:eastAsia="es-ES"/>
        </w:rPr>
        <w:t>Cabe resaltar que el año 2016</w:t>
      </w:r>
      <w:r w:rsidR="005711E9">
        <w:rPr>
          <w:rFonts w:ascii="Book Antiqua" w:hAnsi="Book Antiqua"/>
          <w:bCs/>
          <w:sz w:val="22"/>
          <w:szCs w:val="22"/>
          <w:lang w:eastAsia="es-ES"/>
        </w:rPr>
        <w:t>, las comunas gobernadas por Alcaldes adherentes de Chile Vamos, donde vive el 42% de la Población del país solo se le asignó el 17.2% de los recursos. L</w:t>
      </w:r>
      <w:r w:rsidRPr="00781624">
        <w:rPr>
          <w:rFonts w:ascii="Book Antiqua" w:hAnsi="Book Antiqua"/>
          <w:bCs/>
          <w:sz w:val="22"/>
          <w:szCs w:val="22"/>
          <w:lang w:eastAsia="es-ES"/>
        </w:rPr>
        <w:t xml:space="preserve">a proporción de los recursos a las comunas cuyo Alcalde es afín a Chile </w:t>
      </w:r>
      <w:r w:rsidR="005711E9">
        <w:rPr>
          <w:rFonts w:ascii="Book Antiqua" w:hAnsi="Book Antiqua"/>
          <w:bCs/>
          <w:sz w:val="22"/>
          <w:szCs w:val="22"/>
          <w:lang w:eastAsia="es-ES"/>
        </w:rPr>
        <w:t>V</w:t>
      </w:r>
      <w:r w:rsidRPr="00781624">
        <w:rPr>
          <w:rFonts w:ascii="Book Antiqua" w:hAnsi="Book Antiqua"/>
          <w:bCs/>
          <w:sz w:val="22"/>
          <w:szCs w:val="22"/>
          <w:lang w:eastAsia="es-ES"/>
        </w:rPr>
        <w:t xml:space="preserve">amos representa </w:t>
      </w:r>
      <w:r w:rsidR="005711E9">
        <w:rPr>
          <w:rFonts w:ascii="Book Antiqua" w:hAnsi="Book Antiqua"/>
          <w:bCs/>
          <w:sz w:val="22"/>
          <w:szCs w:val="22"/>
          <w:lang w:eastAsia="es-ES"/>
        </w:rPr>
        <w:t>solo el 22</w:t>
      </w:r>
      <w:r w:rsidRPr="00781624">
        <w:rPr>
          <w:rFonts w:ascii="Book Antiqua" w:hAnsi="Book Antiqua"/>
          <w:bCs/>
          <w:sz w:val="22"/>
          <w:szCs w:val="22"/>
          <w:lang w:eastAsia="es-ES"/>
        </w:rPr>
        <w:t xml:space="preserve">% de los recursos totales asignados a comunas cuyo Alcalde es militante o adherente de la Nueva Mayoría. </w:t>
      </w:r>
    </w:p>
    <w:p w:rsidR="00781624" w:rsidRPr="00781624" w:rsidRDefault="00781624" w:rsidP="00781624">
      <w:pPr>
        <w:spacing w:after="200" w:line="276" w:lineRule="auto"/>
        <w:rPr>
          <w:rFonts w:ascii="Book Antiqua" w:hAnsi="Book Antiqua"/>
          <w:b/>
          <w:sz w:val="22"/>
        </w:rPr>
      </w:pPr>
    </w:p>
    <w:p w:rsidR="00781624" w:rsidRPr="005711E9" w:rsidRDefault="00BB259B" w:rsidP="005711E9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Book Antiqua" w:hAnsi="Book Antiqua"/>
          <w:b/>
          <w:sz w:val="22"/>
          <w:u w:val="single"/>
        </w:rPr>
      </w:pPr>
      <w:r w:rsidRPr="005711E9">
        <w:rPr>
          <w:rFonts w:ascii="Book Antiqua" w:hAnsi="Book Antiqua"/>
          <w:b/>
          <w:sz w:val="22"/>
          <w:u w:val="single"/>
        </w:rPr>
        <w:t>EVOLUCIÓN DE LOS RECURSOS ASIGNADOS PMU</w:t>
      </w:r>
      <w:r w:rsidR="00032E38" w:rsidRPr="005711E9">
        <w:rPr>
          <w:rFonts w:ascii="Book Antiqua" w:hAnsi="Book Antiqua"/>
          <w:b/>
          <w:sz w:val="22"/>
          <w:u w:val="single"/>
        </w:rPr>
        <w:t xml:space="preserve"> P</w:t>
      </w:r>
      <w:r w:rsidR="005711E9">
        <w:rPr>
          <w:rFonts w:ascii="Book Antiqua" w:hAnsi="Book Antiqua"/>
          <w:b/>
          <w:sz w:val="22"/>
          <w:u w:val="single"/>
        </w:rPr>
        <w:t>ARA</w:t>
      </w:r>
      <w:r w:rsidR="00032E38" w:rsidRPr="005711E9">
        <w:rPr>
          <w:rFonts w:ascii="Book Antiqua" w:hAnsi="Book Antiqua"/>
          <w:b/>
          <w:sz w:val="22"/>
          <w:u w:val="single"/>
        </w:rPr>
        <w:t xml:space="preserve"> PRINCIPALES COALICIONES</w:t>
      </w:r>
    </w:p>
    <w:p w:rsidR="00781624" w:rsidRPr="00781624" w:rsidRDefault="00032E38" w:rsidP="00781624">
      <w:pPr>
        <w:spacing w:after="200" w:line="276" w:lineRule="auto"/>
        <w:jc w:val="center"/>
        <w:rPr>
          <w:noProof/>
          <w:lang w:val="es-ES" w:eastAsia="es-ES"/>
        </w:rPr>
      </w:pPr>
      <w:r w:rsidRPr="00781624"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5CF80CC1" wp14:editId="330E3B0E">
            <wp:simplePos x="0" y="0"/>
            <wp:positionH relativeFrom="column">
              <wp:posOffset>-422910</wp:posOffset>
            </wp:positionH>
            <wp:positionV relativeFrom="paragraph">
              <wp:posOffset>334010</wp:posOffset>
            </wp:positionV>
            <wp:extent cx="3305175" cy="1809750"/>
            <wp:effectExtent l="0" t="0" r="9525" b="0"/>
            <wp:wrapNone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624" w:rsidRPr="00781624" w:rsidRDefault="005711E9" w:rsidP="00781624">
      <w:pPr>
        <w:spacing w:after="200" w:line="276" w:lineRule="auto"/>
        <w:jc w:val="center"/>
        <w:rPr>
          <w:noProof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 wp14:anchorId="46C403C0" wp14:editId="68D0AFEB">
            <wp:simplePos x="0" y="0"/>
            <wp:positionH relativeFrom="column">
              <wp:posOffset>3072765</wp:posOffset>
            </wp:positionH>
            <wp:positionV relativeFrom="paragraph">
              <wp:posOffset>24765</wp:posOffset>
            </wp:positionV>
            <wp:extent cx="3352800" cy="1800225"/>
            <wp:effectExtent l="0" t="0" r="0" b="9525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624" w:rsidRPr="00781624" w:rsidRDefault="00781624" w:rsidP="00781624">
      <w:pPr>
        <w:spacing w:after="200" w:line="276" w:lineRule="auto"/>
        <w:jc w:val="center"/>
        <w:rPr>
          <w:rFonts w:ascii="Book Antiqua" w:hAnsi="Book Antiqua"/>
          <w:b/>
          <w:sz w:val="22"/>
        </w:rPr>
      </w:pPr>
    </w:p>
    <w:p w:rsidR="00781624" w:rsidRDefault="00781624" w:rsidP="00781624">
      <w:pPr>
        <w:jc w:val="center"/>
        <w:rPr>
          <w:rFonts w:ascii="Book Antiqua" w:hAnsi="Book Antiqua"/>
          <w:sz w:val="18"/>
        </w:rPr>
      </w:pPr>
    </w:p>
    <w:p w:rsidR="00781624" w:rsidRPr="00781624" w:rsidRDefault="00781624" w:rsidP="00781624">
      <w:pPr>
        <w:jc w:val="center"/>
        <w:rPr>
          <w:rFonts w:ascii="Book Antiqua" w:hAnsi="Book Antiqua"/>
          <w:sz w:val="18"/>
        </w:rPr>
      </w:pPr>
    </w:p>
    <w:p w:rsidR="00781624" w:rsidRDefault="00781624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5711E9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 wp14:anchorId="19D1A7E0" wp14:editId="1B21FAA5">
            <wp:simplePos x="0" y="0"/>
            <wp:positionH relativeFrom="margin">
              <wp:align>center</wp:align>
            </wp:positionH>
            <wp:positionV relativeFrom="paragraph">
              <wp:posOffset>-241935</wp:posOffset>
            </wp:positionV>
            <wp:extent cx="3981450" cy="2066925"/>
            <wp:effectExtent l="0" t="0" r="0" b="9525"/>
            <wp:wrapNone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BB259B" w:rsidRDefault="00BB259B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3820F7" w:rsidRPr="00781624" w:rsidRDefault="003820F7" w:rsidP="003820F7">
      <w:pPr>
        <w:jc w:val="right"/>
        <w:rPr>
          <w:rFonts w:ascii="Book Antiqua" w:hAnsi="Book Antiqua"/>
          <w:sz w:val="18"/>
        </w:rPr>
      </w:pPr>
      <w:r w:rsidRPr="00781624">
        <w:rPr>
          <w:rFonts w:ascii="Book Antiqua" w:hAnsi="Book Antiqua"/>
          <w:sz w:val="18"/>
        </w:rPr>
        <w:t xml:space="preserve">Fuente: Elaboración propia con datos de SINIM. </w:t>
      </w:r>
    </w:p>
    <w:p w:rsidR="003820F7" w:rsidRPr="00781624" w:rsidRDefault="003820F7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781624" w:rsidRPr="00781624" w:rsidRDefault="00781624" w:rsidP="00781624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 w:rsidRPr="00781624">
        <w:rPr>
          <w:rFonts w:ascii="Book Antiqua" w:hAnsi="Book Antiqua"/>
          <w:bCs/>
          <w:sz w:val="22"/>
          <w:szCs w:val="22"/>
          <w:lang w:eastAsia="es-ES"/>
        </w:rPr>
        <w:t>Los Gráficos muestra la distribución del total de los recursos del Programa PMU para los años 2014, 2015 y 2016 donde se aprecia claramente el aumento sostenido de los recursos dirigidos a las comunas cuyos Alcaldes adhieren a la Nueva Mayoría y, por el contrario, el continuo descenso de asignación de recursos a las comunas cuya máxima autoridad es afín a Chile Vamos.</w:t>
      </w:r>
    </w:p>
    <w:p w:rsidR="00781624" w:rsidRPr="00781624" w:rsidRDefault="00781624" w:rsidP="00781624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 w:rsidRPr="00781624">
        <w:rPr>
          <w:rFonts w:ascii="Book Antiqua" w:hAnsi="Book Antiqua"/>
          <w:bCs/>
          <w:sz w:val="22"/>
          <w:szCs w:val="22"/>
          <w:lang w:eastAsia="es-ES"/>
        </w:rPr>
        <w:t xml:space="preserve">Cabe resaltar que los años 2015 y 2016 la proporción de los recursos a las comunas cuyo Alcalde es afín a Chile vamos representa prácticamente al 50% menos de los recursos totales asignados a comunas cuyo Alcalde es militante o adherente de la Nueva Mayoría. </w:t>
      </w:r>
    </w:p>
    <w:p w:rsidR="00781624" w:rsidRPr="00781624" w:rsidRDefault="00781624" w:rsidP="00781624">
      <w:pPr>
        <w:spacing w:after="200" w:line="276" w:lineRule="auto"/>
        <w:rPr>
          <w:rFonts w:ascii="Book Antiqua" w:hAnsi="Book Antiqua"/>
          <w:b/>
          <w:sz w:val="22"/>
        </w:rPr>
      </w:pPr>
    </w:p>
    <w:p w:rsidR="00781624" w:rsidRPr="00781624" w:rsidRDefault="00781624" w:rsidP="00781624">
      <w:pPr>
        <w:pStyle w:val="Prrafodelista"/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781624" w:rsidRPr="005711E9" w:rsidRDefault="005711E9" w:rsidP="005711E9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Book Antiqua" w:hAnsi="Book Antiqua"/>
          <w:b/>
          <w:sz w:val="22"/>
          <w:u w:val="single"/>
        </w:rPr>
      </w:pPr>
      <w:r w:rsidRPr="005711E9">
        <w:rPr>
          <w:rFonts w:ascii="Book Antiqua" w:hAnsi="Book Antiqua"/>
          <w:b/>
          <w:sz w:val="22"/>
          <w:u w:val="single"/>
        </w:rPr>
        <w:t xml:space="preserve">GASTO TOTAL </w:t>
      </w:r>
      <w:r>
        <w:rPr>
          <w:rFonts w:ascii="Book Antiqua" w:hAnsi="Book Antiqua"/>
          <w:b/>
          <w:sz w:val="22"/>
          <w:u w:val="single"/>
        </w:rPr>
        <w:t xml:space="preserve">PER CÁPITA </w:t>
      </w:r>
      <w:r w:rsidR="0048113F" w:rsidRPr="005711E9">
        <w:rPr>
          <w:rFonts w:ascii="Book Antiqua" w:hAnsi="Book Antiqua"/>
          <w:b/>
          <w:sz w:val="22"/>
          <w:u w:val="single"/>
        </w:rPr>
        <w:t>PMU Y PMB AL AÑO</w:t>
      </w:r>
      <w:r>
        <w:rPr>
          <w:rFonts w:ascii="Book Antiqua" w:hAnsi="Book Antiqua"/>
          <w:b/>
          <w:sz w:val="22"/>
          <w:u w:val="single"/>
        </w:rPr>
        <w:t>,</w:t>
      </w:r>
      <w:r w:rsidR="0048113F" w:rsidRPr="005711E9">
        <w:rPr>
          <w:rFonts w:ascii="Book Antiqua" w:hAnsi="Book Antiqua"/>
          <w:b/>
          <w:sz w:val="22"/>
          <w:u w:val="single"/>
        </w:rPr>
        <w:t xml:space="preserve"> EN COMUNAS CON ALCALDES DE LA NUEVA MAYORÍA Y DE CHILE VAMOS </w:t>
      </w:r>
      <w:r>
        <w:rPr>
          <w:rFonts w:ascii="Book Antiqua" w:hAnsi="Book Antiqua"/>
          <w:b/>
          <w:sz w:val="22"/>
          <w:u w:val="single"/>
        </w:rPr>
        <w:t xml:space="preserve">                             </w:t>
      </w:r>
      <w:proofErr w:type="gramStart"/>
      <w:r>
        <w:rPr>
          <w:rFonts w:ascii="Book Antiqua" w:hAnsi="Book Antiqua"/>
          <w:b/>
          <w:sz w:val="22"/>
          <w:u w:val="single"/>
        </w:rPr>
        <w:t xml:space="preserve">   </w:t>
      </w:r>
      <w:r w:rsidR="0048113F" w:rsidRPr="005711E9">
        <w:rPr>
          <w:rFonts w:ascii="Book Antiqua" w:hAnsi="Book Antiqua"/>
          <w:b/>
          <w:sz w:val="22"/>
          <w:u w:val="single"/>
        </w:rPr>
        <w:t>(</w:t>
      </w:r>
      <w:proofErr w:type="gramEnd"/>
      <w:r w:rsidR="0048113F" w:rsidRPr="005711E9">
        <w:rPr>
          <w:rFonts w:ascii="Book Antiqua" w:hAnsi="Book Antiqua"/>
          <w:b/>
          <w:sz w:val="22"/>
          <w:u w:val="single"/>
        </w:rPr>
        <w:t>$ POR PERSONA)</w:t>
      </w:r>
    </w:p>
    <w:p w:rsidR="00781624" w:rsidRPr="003820F7" w:rsidRDefault="0048113F" w:rsidP="003820F7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3752850" cy="22669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co personas v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1624" w:rsidRPr="00781624">
        <w:rPr>
          <w:rFonts w:ascii="Book Antiqua" w:hAnsi="Book Antiqua"/>
          <w:sz w:val="18"/>
        </w:rPr>
        <w:t xml:space="preserve">. </w:t>
      </w:r>
    </w:p>
    <w:p w:rsidR="00781624" w:rsidRPr="00781624" w:rsidRDefault="00781624" w:rsidP="00781624">
      <w:pPr>
        <w:ind w:left="6372" w:firstLine="708"/>
        <w:rPr>
          <w:rFonts w:ascii="Book Antiqua" w:hAnsi="Book Antiqua"/>
          <w:sz w:val="18"/>
        </w:rPr>
      </w:pPr>
    </w:p>
    <w:p w:rsidR="0048113F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lastRenderedPageBreak/>
        <w:t xml:space="preserve">El gráfico </w:t>
      </w:r>
      <w:r w:rsidRPr="004F2BD7">
        <w:rPr>
          <w:rFonts w:ascii="Book Antiqua" w:hAnsi="Book Antiqua"/>
          <w:bCs/>
          <w:sz w:val="22"/>
          <w:szCs w:val="22"/>
          <w:lang w:eastAsia="es-ES"/>
        </w:rPr>
        <w:t xml:space="preserve">muestra </w:t>
      </w:r>
      <w:r>
        <w:rPr>
          <w:rFonts w:ascii="Book Antiqua" w:hAnsi="Book Antiqua"/>
          <w:bCs/>
          <w:sz w:val="22"/>
          <w:szCs w:val="22"/>
          <w:lang w:eastAsia="es-ES"/>
        </w:rPr>
        <w:t>una comparación entre distribución del total de los recursos de los Programas PMU y PMB entre 2014 y el año electoral 2016.</w:t>
      </w:r>
    </w:p>
    <w:p w:rsidR="0048113F" w:rsidRPr="007F1A97" w:rsidRDefault="0048113F" w:rsidP="0048113F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>En él es posible apreciar que tras un equilibrio relativo de la inversión per cápita el año 2014, el año 2016, esta proporcionalidad se ve d</w:t>
      </w:r>
      <w:r w:rsidRPr="007F1A97">
        <w:rPr>
          <w:rFonts w:ascii="Book Antiqua" w:hAnsi="Book Antiqua"/>
          <w:bCs/>
          <w:sz w:val="22"/>
          <w:szCs w:val="22"/>
          <w:lang w:eastAsia="es-ES"/>
        </w:rPr>
        <w:t>rá</w:t>
      </w:r>
      <w:r>
        <w:rPr>
          <w:rFonts w:ascii="Book Antiqua" w:hAnsi="Book Antiqua"/>
          <w:bCs/>
          <w:sz w:val="22"/>
          <w:szCs w:val="22"/>
          <w:lang w:eastAsia="es-ES"/>
        </w:rPr>
        <w:t>sticamente alterada ya que la inversión per cápita en las comunas cuyo Alcalde es afín a Chile Vamos representa un 50% menos que la inversión por persona en las comunas cuyo alcalde es adherente o militante de la Nueva Mayoría.</w:t>
      </w:r>
    </w:p>
    <w:p w:rsidR="00781624" w:rsidRPr="00781624" w:rsidRDefault="00781624" w:rsidP="00781624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781624" w:rsidRPr="005711E9" w:rsidRDefault="0048113F" w:rsidP="005711E9">
      <w:pPr>
        <w:pStyle w:val="Prrafodelista"/>
        <w:numPr>
          <w:ilvl w:val="0"/>
          <w:numId w:val="1"/>
        </w:numPr>
        <w:spacing w:after="200" w:line="276" w:lineRule="auto"/>
        <w:jc w:val="center"/>
        <w:rPr>
          <w:rFonts w:ascii="Book Antiqua" w:hAnsi="Book Antiqua"/>
          <w:b/>
          <w:sz w:val="22"/>
          <w:u w:val="single"/>
        </w:rPr>
      </w:pPr>
      <w:r w:rsidRPr="005711E9">
        <w:rPr>
          <w:rFonts w:ascii="Book Antiqua" w:hAnsi="Book Antiqua"/>
          <w:b/>
          <w:sz w:val="22"/>
          <w:u w:val="single"/>
        </w:rPr>
        <w:t>RECURSOS ASIGNADOS A 17 COMUNAS DONDE LAS COALICIONES SE JUEGAN LA ELECCIÓN MUNICIPAL</w:t>
      </w:r>
    </w:p>
    <w:p w:rsidR="00781624" w:rsidRPr="00781624" w:rsidRDefault="00781624" w:rsidP="0048113F">
      <w:pPr>
        <w:spacing w:after="200" w:line="276" w:lineRule="auto"/>
        <w:ind w:left="720"/>
        <w:jc w:val="both"/>
        <w:rPr>
          <w:rFonts w:ascii="Book Antiqua" w:hAnsi="Book Antiqua"/>
          <w:b/>
          <w:sz w:val="22"/>
        </w:rPr>
      </w:pPr>
    </w:p>
    <w:tbl>
      <w:tblPr>
        <w:tblW w:w="7215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</w:tblGrid>
      <w:tr w:rsidR="00781624" w:rsidRPr="00781624" w:rsidTr="00781624">
        <w:trPr>
          <w:trHeight w:val="255"/>
          <w:jc w:val="center"/>
        </w:trPr>
        <w:tc>
          <w:tcPr>
            <w:tcW w:w="24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  <w:noWrap/>
          </w:tcPr>
          <w:p w:rsidR="00781624" w:rsidRPr="009F4965" w:rsidRDefault="00781624" w:rsidP="0026282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  <w:t>COMUNAS EMPLEMATICAS</w:t>
            </w:r>
          </w:p>
        </w:tc>
        <w:tc>
          <w:tcPr>
            <w:tcW w:w="240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  <w:vAlign w:val="bottom"/>
          </w:tcPr>
          <w:p w:rsidR="003820F7" w:rsidRDefault="003820F7" w:rsidP="0026282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 xml:space="preserve">NUMERO DE </w:t>
            </w:r>
          </w:p>
          <w:p w:rsidR="00781624" w:rsidRPr="009F4965" w:rsidRDefault="00532546" w:rsidP="0026282B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ELECTORES</w:t>
            </w:r>
          </w:p>
        </w:tc>
        <w:tc>
          <w:tcPr>
            <w:tcW w:w="2405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3820F7" w:rsidRDefault="00532546" w:rsidP="003820F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 w:rsidRPr="009F4965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RECURSOS</w:t>
            </w:r>
          </w:p>
          <w:p w:rsidR="00781624" w:rsidRPr="009F4965" w:rsidRDefault="003820F7" w:rsidP="003820F7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</w:rPr>
              <w:t>ASIGNADOS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Antofagasta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</w:rPr>
              <w:t>259.877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Concepción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198.945</w:t>
            </w:r>
          </w:p>
        </w:tc>
        <w:tc>
          <w:tcPr>
            <w:tcW w:w="2405" w:type="dxa"/>
            <w:shd w:val="clear" w:color="auto" w:fill="FF5050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$ 111.293.643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Huechuraba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Pr="009F4965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66.639</w:t>
            </w:r>
          </w:p>
        </w:tc>
        <w:tc>
          <w:tcPr>
            <w:tcW w:w="2405" w:type="dxa"/>
            <w:shd w:val="clear" w:color="auto" w:fill="FF5050"/>
          </w:tcPr>
          <w:p w:rsidR="00532546" w:rsidRPr="009F4965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          $ 236.003.091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La Florida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299.981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$ 59.950.000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La Reina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90.051</w:t>
            </w:r>
          </w:p>
        </w:tc>
        <w:tc>
          <w:tcPr>
            <w:tcW w:w="2405" w:type="dxa"/>
            <w:shd w:val="clear" w:color="auto" w:fill="FF5050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$ 288.554.660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Las Condes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246.490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Maipú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370.098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Ñuñoa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182.362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$ 49.932.694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Providencia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163.008</w:t>
            </w:r>
          </w:p>
        </w:tc>
        <w:tc>
          <w:tcPr>
            <w:tcW w:w="2405" w:type="dxa"/>
            <w:shd w:val="clear" w:color="auto" w:fill="FF5050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$ 207.796.543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Puente Alto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374.596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Puerto Montt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Pr="009F4965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171.155</w:t>
            </w:r>
          </w:p>
        </w:tc>
        <w:tc>
          <w:tcPr>
            <w:tcW w:w="2405" w:type="dxa"/>
            <w:shd w:val="clear" w:color="auto" w:fill="FF5050"/>
          </w:tcPr>
          <w:p w:rsidR="00532546" w:rsidRPr="009F4965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          $ 444.544.513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Recoleta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Pr="009F4965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140.757</w:t>
            </w:r>
          </w:p>
        </w:tc>
        <w:tc>
          <w:tcPr>
            <w:tcW w:w="2405" w:type="dxa"/>
            <w:shd w:val="clear" w:color="auto" w:fill="FF5050"/>
          </w:tcPr>
          <w:p w:rsidR="00532546" w:rsidRPr="009F4965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9F4965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          $ 409.141.291 </w:t>
            </w:r>
          </w:p>
        </w:tc>
      </w:tr>
      <w:tr w:rsidR="00532546" w:rsidRPr="00781624" w:rsidTr="00781624">
        <w:trPr>
          <w:trHeight w:val="255"/>
          <w:jc w:val="center"/>
        </w:trPr>
        <w:tc>
          <w:tcPr>
            <w:tcW w:w="2405" w:type="dxa"/>
            <w:shd w:val="clear" w:color="auto" w:fill="D9E2F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San Bernardo</w:t>
            </w:r>
          </w:p>
        </w:tc>
        <w:tc>
          <w:tcPr>
            <w:tcW w:w="2405" w:type="dxa"/>
            <w:shd w:val="clear" w:color="auto" w:fill="D9E2F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218.593</w:t>
            </w:r>
          </w:p>
        </w:tc>
        <w:tc>
          <w:tcPr>
            <w:tcW w:w="2405" w:type="dxa"/>
            <w:shd w:val="clear" w:color="auto" w:fill="D9E2F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FF5050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Santiago</w:t>
            </w:r>
          </w:p>
        </w:tc>
        <w:tc>
          <w:tcPr>
            <w:tcW w:w="2405" w:type="dxa"/>
            <w:shd w:val="clear" w:color="auto" w:fill="FF5050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302.537</w:t>
            </w:r>
          </w:p>
        </w:tc>
        <w:tc>
          <w:tcPr>
            <w:tcW w:w="2405" w:type="dxa"/>
            <w:shd w:val="clear" w:color="auto" w:fill="FF5050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$ 402.522.940 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Temuco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225.132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$ </w:t>
            </w:r>
            <w:r w:rsidRPr="0078162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134.451.310</w:t>
            </w: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Valparaíso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284.195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32546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  <w:hideMark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Viña del Mar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532546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294.904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532546" w:rsidRPr="00781624" w:rsidRDefault="00532546" w:rsidP="005325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81624" w:rsidRPr="00781624" w:rsidTr="009F4965">
        <w:trPr>
          <w:trHeight w:val="255"/>
          <w:jc w:val="center"/>
        </w:trPr>
        <w:tc>
          <w:tcPr>
            <w:tcW w:w="2405" w:type="dxa"/>
            <w:shd w:val="clear" w:color="auto" w:fill="DEEAF6" w:themeFill="accent1" w:themeFillTint="33"/>
            <w:noWrap/>
          </w:tcPr>
          <w:p w:rsidR="00781624" w:rsidRPr="00781624" w:rsidRDefault="00781624" w:rsidP="0026282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781624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2405" w:type="dxa"/>
            <w:shd w:val="clear" w:color="auto" w:fill="DEEAF6" w:themeFill="accent1" w:themeFillTint="33"/>
            <w:vAlign w:val="bottom"/>
          </w:tcPr>
          <w:p w:rsidR="00781624" w:rsidRPr="00532546" w:rsidRDefault="00532546" w:rsidP="0053254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3.889.320</w:t>
            </w:r>
          </w:p>
        </w:tc>
        <w:tc>
          <w:tcPr>
            <w:tcW w:w="2405" w:type="dxa"/>
            <w:shd w:val="clear" w:color="auto" w:fill="DEEAF6" w:themeFill="accent1" w:themeFillTint="33"/>
          </w:tcPr>
          <w:p w:rsidR="00781624" w:rsidRPr="00532546" w:rsidRDefault="00532546" w:rsidP="0053254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53254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$ </w:t>
            </w:r>
            <w:r w:rsidRPr="0053254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2.344.190.685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C585E" w:rsidRDefault="001C585E" w:rsidP="005711E9">
      <w:pPr>
        <w:spacing w:after="200" w:line="276" w:lineRule="auto"/>
        <w:jc w:val="both"/>
        <w:rPr>
          <w:rFonts w:ascii="Book Antiqua" w:hAnsi="Book Antiqua"/>
          <w:b/>
          <w:sz w:val="22"/>
        </w:rPr>
      </w:pPr>
    </w:p>
    <w:tbl>
      <w:tblPr>
        <w:tblStyle w:val="Tabladecuadrcula4-nfasis1"/>
        <w:tblW w:w="7933" w:type="dxa"/>
        <w:jc w:val="center"/>
        <w:tblLook w:val="04A0" w:firstRow="1" w:lastRow="0" w:firstColumn="1" w:lastColumn="0" w:noHBand="0" w:noVBand="1"/>
      </w:tblPr>
      <w:tblGrid>
        <w:gridCol w:w="1720"/>
        <w:gridCol w:w="1540"/>
        <w:gridCol w:w="1480"/>
        <w:gridCol w:w="1776"/>
        <w:gridCol w:w="1417"/>
      </w:tblGrid>
      <w:tr w:rsidR="001C585E" w:rsidRPr="001C585E" w:rsidTr="00571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:rsidR="001C585E" w:rsidRPr="001C585E" w:rsidRDefault="001C585E" w:rsidP="001C585E">
            <w:pP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540" w:type="dxa"/>
            <w:noWrap/>
            <w:hideMark/>
          </w:tcPr>
          <w:p w:rsidR="001C585E" w:rsidRPr="001C585E" w:rsidRDefault="001C585E" w:rsidP="001C5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N° </w:t>
            </w: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ELECTORES</w:t>
            </w:r>
          </w:p>
        </w:tc>
        <w:tc>
          <w:tcPr>
            <w:tcW w:w="1480" w:type="dxa"/>
            <w:noWrap/>
            <w:hideMark/>
          </w:tcPr>
          <w:p w:rsidR="001C585E" w:rsidRPr="001C585E" w:rsidRDefault="001C585E" w:rsidP="001C5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sz w:val="20"/>
                <w:szCs w:val="20"/>
                <w:lang w:val="es-ES" w:eastAsia="es-ES"/>
              </w:rPr>
              <w:t>% PROYECTOS</w:t>
            </w:r>
          </w:p>
        </w:tc>
        <w:tc>
          <w:tcPr>
            <w:tcW w:w="1776" w:type="dxa"/>
            <w:noWrap/>
            <w:hideMark/>
          </w:tcPr>
          <w:p w:rsidR="001C585E" w:rsidRPr="001C585E" w:rsidRDefault="001C585E" w:rsidP="001C5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sz w:val="20"/>
                <w:szCs w:val="20"/>
                <w:lang w:val="es-ES" w:eastAsia="es-ES"/>
              </w:rPr>
              <w:t>RECURSOS</w:t>
            </w:r>
          </w:p>
        </w:tc>
        <w:tc>
          <w:tcPr>
            <w:tcW w:w="1417" w:type="dxa"/>
            <w:noWrap/>
            <w:hideMark/>
          </w:tcPr>
          <w:p w:rsidR="001C585E" w:rsidRPr="001C585E" w:rsidRDefault="001C585E" w:rsidP="001C5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sz w:val="20"/>
                <w:szCs w:val="20"/>
                <w:lang w:val="es-ES" w:eastAsia="es-ES"/>
              </w:rPr>
              <w:t>% RECURSOS</w:t>
            </w:r>
          </w:p>
        </w:tc>
      </w:tr>
      <w:tr w:rsidR="001C585E" w:rsidRPr="001C585E" w:rsidTr="0057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:rsidR="001C585E" w:rsidRPr="001C585E" w:rsidRDefault="001C585E" w:rsidP="001C585E">
            <w:pP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NUEVA MAYORIA</w:t>
            </w:r>
          </w:p>
        </w:tc>
        <w:tc>
          <w:tcPr>
            <w:tcW w:w="1540" w:type="dxa"/>
            <w:noWrap/>
            <w:hideMark/>
          </w:tcPr>
          <w:p w:rsidR="001C585E" w:rsidRDefault="001C585E" w:rsidP="001C58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5711E9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503</w:t>
            </w:r>
            <w:r w:rsidR="005711E9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0" w:type="dxa"/>
            <w:noWrap/>
            <w:hideMark/>
          </w:tcPr>
          <w:p w:rsidR="001C585E" w:rsidRDefault="001C585E" w:rsidP="001C58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38,6</w:t>
            </w:r>
            <w:r w:rsidR="005711E9">
              <w:rPr>
                <w:rFonts w:ascii="Calibri" w:hAnsi="Calibri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776" w:type="dxa"/>
            <w:noWrap/>
            <w:hideMark/>
          </w:tcPr>
          <w:p w:rsidR="001C585E" w:rsidRPr="001C585E" w:rsidRDefault="005711E9" w:rsidP="0057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$</w:t>
            </w:r>
            <w:r w:rsidR="001C585E"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2.099.856.681</w:t>
            </w:r>
          </w:p>
        </w:tc>
        <w:tc>
          <w:tcPr>
            <w:tcW w:w="1417" w:type="dxa"/>
            <w:noWrap/>
            <w:hideMark/>
          </w:tcPr>
          <w:p w:rsidR="001C585E" w:rsidRPr="001C585E" w:rsidRDefault="001C585E" w:rsidP="001C58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89,58</w:t>
            </w:r>
            <w:r w:rsidR="005711E9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 xml:space="preserve"> % </w:t>
            </w:r>
          </w:p>
        </w:tc>
      </w:tr>
      <w:tr w:rsidR="001C585E" w:rsidRPr="001C585E" w:rsidTr="005711E9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:rsidR="001C585E" w:rsidRPr="001C585E" w:rsidRDefault="001C585E" w:rsidP="001C585E">
            <w:pP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CHILEVAMOS</w:t>
            </w:r>
          </w:p>
        </w:tc>
        <w:tc>
          <w:tcPr>
            <w:tcW w:w="1540" w:type="dxa"/>
            <w:noWrap/>
            <w:hideMark/>
          </w:tcPr>
          <w:p w:rsidR="001C585E" w:rsidRDefault="001C585E" w:rsidP="001C5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5711E9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386</w:t>
            </w:r>
            <w:r w:rsidR="005711E9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0" w:type="dxa"/>
            <w:noWrap/>
            <w:hideMark/>
          </w:tcPr>
          <w:p w:rsidR="001C585E" w:rsidRDefault="001C585E" w:rsidP="001C5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61,4</w:t>
            </w:r>
            <w:r w:rsidR="005711E9">
              <w:rPr>
                <w:rFonts w:ascii="Calibri" w:hAnsi="Calibri"/>
                <w:color w:val="000000"/>
                <w:sz w:val="20"/>
                <w:szCs w:val="20"/>
              </w:rPr>
              <w:t xml:space="preserve"> % </w:t>
            </w:r>
          </w:p>
        </w:tc>
        <w:tc>
          <w:tcPr>
            <w:tcW w:w="1776" w:type="dxa"/>
            <w:noWrap/>
            <w:hideMark/>
          </w:tcPr>
          <w:p w:rsidR="001C585E" w:rsidRPr="001C585E" w:rsidRDefault="005711E9" w:rsidP="005711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 xml:space="preserve">$ </w:t>
            </w:r>
            <w:r w:rsidR="001C585E"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244.334.004</w:t>
            </w:r>
          </w:p>
        </w:tc>
        <w:tc>
          <w:tcPr>
            <w:tcW w:w="1417" w:type="dxa"/>
            <w:noWrap/>
            <w:hideMark/>
          </w:tcPr>
          <w:p w:rsidR="001C585E" w:rsidRPr="001C585E" w:rsidRDefault="001C585E" w:rsidP="001C58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10,42</w:t>
            </w:r>
            <w:r w:rsidR="005711E9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 xml:space="preserve"> % </w:t>
            </w:r>
          </w:p>
        </w:tc>
      </w:tr>
      <w:tr w:rsidR="001C585E" w:rsidRPr="001C585E" w:rsidTr="00571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0" w:type="dxa"/>
            <w:noWrap/>
            <w:hideMark/>
          </w:tcPr>
          <w:p w:rsidR="001C585E" w:rsidRPr="001C585E" w:rsidRDefault="001C585E" w:rsidP="001C585E">
            <w:pP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540" w:type="dxa"/>
            <w:noWrap/>
            <w:hideMark/>
          </w:tcPr>
          <w:p w:rsidR="001C585E" w:rsidRPr="001C585E" w:rsidRDefault="005711E9" w:rsidP="001C585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3.889.320</w:t>
            </w:r>
          </w:p>
        </w:tc>
        <w:tc>
          <w:tcPr>
            <w:tcW w:w="1480" w:type="dxa"/>
            <w:noWrap/>
            <w:hideMark/>
          </w:tcPr>
          <w:p w:rsidR="001C585E" w:rsidRPr="001C585E" w:rsidRDefault="001C585E" w:rsidP="001C5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76" w:type="dxa"/>
            <w:noWrap/>
            <w:hideMark/>
          </w:tcPr>
          <w:p w:rsidR="001C585E" w:rsidRPr="001C585E" w:rsidRDefault="005711E9" w:rsidP="005711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 xml:space="preserve">$ </w:t>
            </w:r>
            <w:r w:rsidR="001C585E"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2.344.190.685</w:t>
            </w:r>
          </w:p>
        </w:tc>
        <w:tc>
          <w:tcPr>
            <w:tcW w:w="1417" w:type="dxa"/>
            <w:noWrap/>
            <w:hideMark/>
          </w:tcPr>
          <w:p w:rsidR="001C585E" w:rsidRPr="001C585E" w:rsidRDefault="001C585E" w:rsidP="001C5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</w:pPr>
            <w:r w:rsidRPr="001C585E">
              <w:rPr>
                <w:rFonts w:ascii="Calibri" w:hAnsi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1C585E" w:rsidRPr="00781624" w:rsidRDefault="001C585E" w:rsidP="00781624">
      <w:pPr>
        <w:spacing w:after="200" w:line="276" w:lineRule="auto"/>
        <w:ind w:left="720"/>
        <w:jc w:val="both"/>
        <w:rPr>
          <w:rFonts w:ascii="Book Antiqua" w:hAnsi="Book Antiqua"/>
          <w:b/>
          <w:sz w:val="22"/>
        </w:rPr>
      </w:pPr>
    </w:p>
    <w:p w:rsidR="00781624" w:rsidRPr="00781624" w:rsidRDefault="00781624" w:rsidP="00781624">
      <w:pPr>
        <w:jc w:val="center"/>
        <w:rPr>
          <w:rFonts w:ascii="Book Antiqua" w:hAnsi="Book Antiqua"/>
          <w:sz w:val="18"/>
        </w:rPr>
      </w:pPr>
      <w:r w:rsidRPr="00781624">
        <w:rPr>
          <w:noProof/>
          <w:lang w:val="es-ES"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35050155" wp14:editId="1C10FAD7">
            <wp:simplePos x="0" y="0"/>
            <wp:positionH relativeFrom="column">
              <wp:posOffset>3634740</wp:posOffset>
            </wp:positionH>
            <wp:positionV relativeFrom="paragraph">
              <wp:posOffset>1675130</wp:posOffset>
            </wp:positionV>
            <wp:extent cx="405765" cy="332740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624">
        <w:rPr>
          <w:noProof/>
          <w:lang w:val="es-ES" w:eastAsia="es-ES"/>
        </w:rPr>
        <w:drawing>
          <wp:anchor distT="0" distB="1905" distL="114300" distR="115697" simplePos="0" relativeHeight="251661312" behindDoc="0" locked="0" layoutInCell="1" allowOverlap="1" wp14:anchorId="5273BF3B" wp14:editId="3D7C0BF5">
            <wp:simplePos x="0" y="0"/>
            <wp:positionH relativeFrom="column">
              <wp:posOffset>2123440</wp:posOffset>
            </wp:positionH>
            <wp:positionV relativeFrom="paragraph">
              <wp:posOffset>1135380</wp:posOffset>
            </wp:positionV>
            <wp:extent cx="681863" cy="882650"/>
            <wp:effectExtent l="0" t="0" r="444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624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AE38175" wp14:editId="64EA3BF8">
            <wp:simplePos x="0" y="0"/>
            <wp:positionH relativeFrom="column">
              <wp:posOffset>1518285</wp:posOffset>
            </wp:positionH>
            <wp:positionV relativeFrom="paragraph">
              <wp:posOffset>1213485</wp:posOffset>
            </wp:positionV>
            <wp:extent cx="612775" cy="793115"/>
            <wp:effectExtent l="0" t="0" r="0" b="698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624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90B8A77" wp14:editId="1ACBA3E4">
            <wp:simplePos x="0" y="0"/>
            <wp:positionH relativeFrom="column">
              <wp:posOffset>2893060</wp:posOffset>
            </wp:positionH>
            <wp:positionV relativeFrom="paragraph">
              <wp:posOffset>539750</wp:posOffset>
            </wp:positionV>
            <wp:extent cx="708025" cy="147129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624">
        <w:rPr>
          <w:noProof/>
          <w:lang w:val="es-ES" w:eastAsia="es-ES"/>
        </w:rPr>
        <w:drawing>
          <wp:inline distT="0" distB="0" distL="0" distR="0" wp14:anchorId="115B1F33" wp14:editId="6FC891EF">
            <wp:extent cx="3067050" cy="2409825"/>
            <wp:effectExtent l="0" t="0" r="0" b="0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81624" w:rsidRPr="00781624" w:rsidRDefault="00781624" w:rsidP="00781624">
      <w:pPr>
        <w:jc w:val="right"/>
        <w:rPr>
          <w:rFonts w:ascii="Book Antiqua" w:hAnsi="Book Antiqua"/>
          <w:sz w:val="18"/>
        </w:rPr>
      </w:pPr>
      <w:r w:rsidRPr="00781624">
        <w:rPr>
          <w:rFonts w:ascii="Book Antiqua" w:hAnsi="Book Antiqua"/>
          <w:sz w:val="18"/>
        </w:rPr>
        <w:t xml:space="preserve">Fuente: Elaboración propia con datos de SINIM. </w:t>
      </w:r>
    </w:p>
    <w:p w:rsidR="00781624" w:rsidRPr="00781624" w:rsidRDefault="00781624" w:rsidP="00781624">
      <w:pPr>
        <w:jc w:val="both"/>
        <w:rPr>
          <w:rFonts w:ascii="Book Antiqua" w:hAnsi="Book Antiqua"/>
          <w:sz w:val="18"/>
        </w:rPr>
      </w:pPr>
    </w:p>
    <w:p w:rsidR="00781624" w:rsidRPr="00781624" w:rsidRDefault="00781624" w:rsidP="00781624">
      <w:pPr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9F4965" w:rsidRDefault="009F4965" w:rsidP="009F4965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 xml:space="preserve">El Gráfico </w:t>
      </w:r>
      <w:r w:rsidRPr="004F2BD7">
        <w:rPr>
          <w:rFonts w:ascii="Book Antiqua" w:hAnsi="Book Antiqua"/>
          <w:bCs/>
          <w:sz w:val="22"/>
          <w:szCs w:val="22"/>
          <w:lang w:eastAsia="es-ES"/>
        </w:rPr>
        <w:t xml:space="preserve">muestra </w:t>
      </w:r>
      <w:r>
        <w:rPr>
          <w:rFonts w:ascii="Book Antiqua" w:hAnsi="Book Antiqua"/>
          <w:bCs/>
          <w:sz w:val="22"/>
          <w:szCs w:val="22"/>
          <w:lang w:eastAsia="es-ES"/>
        </w:rPr>
        <w:t>la distribución del total de los recursos de los Programas PMU y PMB para los años 2014 y 2016 en las denominadas comunas emblemáticas.</w:t>
      </w:r>
    </w:p>
    <w:p w:rsidR="009F4965" w:rsidRDefault="009F4965" w:rsidP="009F4965">
      <w:pPr>
        <w:spacing w:after="200" w:line="276" w:lineRule="auto"/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>En él es posible apreciar que el año 2014, en que no hubo elecciones, la distribución de recursos era relativamente proporcional. Sin embargo, el año 2016, que s</w:t>
      </w:r>
      <w:r w:rsidR="005711E9">
        <w:rPr>
          <w:rFonts w:ascii="Book Antiqua" w:hAnsi="Book Antiqua"/>
          <w:bCs/>
          <w:sz w:val="22"/>
          <w:szCs w:val="22"/>
          <w:lang w:eastAsia="es-ES"/>
        </w:rPr>
        <w:t>í</w:t>
      </w:r>
      <w:r>
        <w:rPr>
          <w:rFonts w:ascii="Book Antiqua" w:hAnsi="Book Antiqua"/>
          <w:bCs/>
          <w:sz w:val="22"/>
          <w:szCs w:val="22"/>
          <w:lang w:eastAsia="es-ES"/>
        </w:rPr>
        <w:t xml:space="preserve"> es año electoral, los recursos que destina SUBDERE a las llamadas comunas emblemáticas cuyo Alcalde es adherente o militante de la Nueva Mayoría aumenta en 43 puntos porcentuales, representando 8 veces más que las comunas cuyo Alcalde se identifica con Chile Vamos.</w:t>
      </w:r>
    </w:p>
    <w:p w:rsidR="009F4965" w:rsidRDefault="009F4965" w:rsidP="009F4965">
      <w:pPr>
        <w:jc w:val="both"/>
        <w:rPr>
          <w:rFonts w:ascii="Book Antiqua" w:hAnsi="Book Antiqua"/>
          <w:bCs/>
          <w:sz w:val="22"/>
          <w:szCs w:val="22"/>
          <w:lang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 xml:space="preserve">Ahora bien, desde el punto de vista del número de electores, vemos que las diferencias antes señaladas son aún más injustas y desproporcionadas. </w:t>
      </w:r>
    </w:p>
    <w:p w:rsidR="009F4965" w:rsidRDefault="009F4965" w:rsidP="009F4965">
      <w:pPr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9F4965" w:rsidRPr="003820F7" w:rsidRDefault="003820F7" w:rsidP="009F4965">
      <w:pPr>
        <w:jc w:val="both"/>
        <w:rPr>
          <w:rFonts w:ascii="Calibri" w:hAnsi="Calibri"/>
          <w:color w:val="000000"/>
          <w:sz w:val="20"/>
          <w:szCs w:val="20"/>
          <w:lang w:val="es-ES"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 xml:space="preserve">El número de electores </w:t>
      </w:r>
      <w:r w:rsidR="009F4965">
        <w:rPr>
          <w:rFonts w:ascii="Book Antiqua" w:hAnsi="Book Antiqua"/>
          <w:bCs/>
          <w:sz w:val="22"/>
          <w:szCs w:val="22"/>
          <w:lang w:eastAsia="es-ES"/>
        </w:rPr>
        <w:t>g</w:t>
      </w:r>
      <w:r>
        <w:rPr>
          <w:rFonts w:ascii="Book Antiqua" w:hAnsi="Book Antiqua"/>
          <w:bCs/>
          <w:sz w:val="22"/>
          <w:szCs w:val="22"/>
          <w:lang w:eastAsia="es-ES"/>
        </w:rPr>
        <w:t>obernado</w:t>
      </w:r>
      <w:r w:rsidR="009F4965">
        <w:rPr>
          <w:rFonts w:ascii="Book Antiqua" w:hAnsi="Book Antiqua"/>
          <w:bCs/>
          <w:sz w:val="22"/>
          <w:szCs w:val="22"/>
          <w:lang w:eastAsia="es-ES"/>
        </w:rPr>
        <w:t xml:space="preserve">s por Alcaldes que adhieren a Chile Vamos, en este grupo analizado, es de </w:t>
      </w:r>
      <w:r w:rsidRPr="003820F7">
        <w:rPr>
          <w:rFonts w:ascii="Book Antiqua" w:hAnsi="Book Antiqua"/>
          <w:bCs/>
          <w:sz w:val="22"/>
          <w:szCs w:val="22"/>
          <w:lang w:eastAsia="es-ES"/>
        </w:rPr>
        <w:t>2</w:t>
      </w:r>
      <w:r>
        <w:rPr>
          <w:rFonts w:ascii="Book Antiqua" w:hAnsi="Book Antiqua"/>
          <w:bCs/>
          <w:sz w:val="22"/>
          <w:szCs w:val="22"/>
          <w:lang w:eastAsia="es-ES"/>
        </w:rPr>
        <w:t>.</w:t>
      </w:r>
      <w:r w:rsidRPr="003820F7">
        <w:rPr>
          <w:rFonts w:ascii="Book Antiqua" w:hAnsi="Book Antiqua"/>
          <w:bCs/>
          <w:sz w:val="22"/>
          <w:szCs w:val="22"/>
          <w:lang w:eastAsia="es-ES"/>
        </w:rPr>
        <w:t>386</w:t>
      </w:r>
      <w:r>
        <w:rPr>
          <w:rFonts w:ascii="Book Antiqua" w:hAnsi="Book Antiqua"/>
          <w:bCs/>
          <w:sz w:val="22"/>
          <w:szCs w:val="22"/>
          <w:lang w:eastAsia="es-ES"/>
        </w:rPr>
        <w:t>.</w:t>
      </w:r>
      <w:r w:rsidRPr="003820F7">
        <w:rPr>
          <w:rFonts w:ascii="Book Antiqua" w:hAnsi="Book Antiqua"/>
          <w:bCs/>
          <w:sz w:val="22"/>
          <w:szCs w:val="22"/>
          <w:lang w:eastAsia="es-ES"/>
        </w:rPr>
        <w:t>130</w:t>
      </w:r>
      <w:r>
        <w:rPr>
          <w:rFonts w:ascii="Book Antiqua" w:hAnsi="Book Antiqua"/>
          <w:bCs/>
          <w:sz w:val="22"/>
          <w:szCs w:val="22"/>
          <w:lang w:eastAsia="es-ES"/>
        </w:rPr>
        <w:t>,</w:t>
      </w:r>
      <w:r>
        <w:rPr>
          <w:rFonts w:ascii="Calibri" w:hAnsi="Calibri"/>
          <w:color w:val="000000"/>
          <w:sz w:val="20"/>
          <w:szCs w:val="20"/>
          <w:lang w:val="es-ES" w:eastAsia="es-ES"/>
        </w:rPr>
        <w:t xml:space="preserve"> </w:t>
      </w:r>
      <w:r w:rsidR="009F4965" w:rsidRPr="001613D6">
        <w:rPr>
          <w:rFonts w:ascii="Book Antiqua" w:hAnsi="Book Antiqua"/>
          <w:bCs/>
          <w:sz w:val="22"/>
          <w:szCs w:val="22"/>
          <w:lang w:eastAsia="es-ES"/>
        </w:rPr>
        <w:t>que equivale</w:t>
      </w:r>
      <w:r>
        <w:rPr>
          <w:rFonts w:ascii="Book Antiqua" w:hAnsi="Book Antiqua"/>
          <w:bCs/>
          <w:sz w:val="22"/>
          <w:szCs w:val="22"/>
          <w:lang w:eastAsia="es-ES"/>
        </w:rPr>
        <w:t>n</w:t>
      </w:r>
      <w:r w:rsidR="009F4965">
        <w:rPr>
          <w:rFonts w:ascii="Book Antiqua" w:hAnsi="Book Antiqua"/>
          <w:bCs/>
          <w:sz w:val="22"/>
          <w:szCs w:val="22"/>
          <w:lang w:eastAsia="es-ES"/>
        </w:rPr>
        <w:t xml:space="preserve"> al 61,4% del total y el año 2016 solo se le asigna, el 10, 4% de los recursos.</w:t>
      </w:r>
    </w:p>
    <w:p w:rsidR="009F4965" w:rsidRDefault="009F4965" w:rsidP="009F4965">
      <w:pPr>
        <w:jc w:val="both"/>
        <w:rPr>
          <w:rFonts w:ascii="Book Antiqua" w:hAnsi="Book Antiqua"/>
          <w:bCs/>
          <w:sz w:val="22"/>
          <w:szCs w:val="22"/>
          <w:lang w:eastAsia="es-ES"/>
        </w:rPr>
      </w:pPr>
    </w:p>
    <w:p w:rsidR="009F4965" w:rsidRPr="003820F7" w:rsidRDefault="009F4965" w:rsidP="009F4965">
      <w:pPr>
        <w:jc w:val="both"/>
        <w:rPr>
          <w:rFonts w:ascii="Calibri" w:hAnsi="Calibri"/>
          <w:color w:val="000000"/>
          <w:sz w:val="20"/>
          <w:szCs w:val="20"/>
          <w:lang w:val="es-ES" w:eastAsia="es-ES"/>
        </w:rPr>
      </w:pPr>
      <w:r>
        <w:rPr>
          <w:rFonts w:ascii="Book Antiqua" w:hAnsi="Book Antiqua"/>
          <w:bCs/>
          <w:sz w:val="22"/>
          <w:szCs w:val="22"/>
          <w:lang w:eastAsia="es-ES"/>
        </w:rPr>
        <w:t xml:space="preserve">Por el contrario, </w:t>
      </w:r>
      <w:r w:rsidR="003820F7">
        <w:rPr>
          <w:rFonts w:ascii="Book Antiqua" w:hAnsi="Book Antiqua"/>
          <w:bCs/>
          <w:sz w:val="22"/>
          <w:szCs w:val="22"/>
          <w:lang w:eastAsia="es-ES"/>
        </w:rPr>
        <w:t>El número de electores gobernados</w:t>
      </w:r>
      <w:r w:rsidRPr="001613D6">
        <w:rPr>
          <w:rFonts w:ascii="Book Antiqua" w:hAnsi="Book Antiqua"/>
          <w:bCs/>
          <w:sz w:val="22"/>
          <w:szCs w:val="22"/>
          <w:lang w:eastAsia="es-ES"/>
        </w:rPr>
        <w:t xml:space="preserve"> por </w:t>
      </w:r>
      <w:r>
        <w:rPr>
          <w:rFonts w:ascii="Book Antiqua" w:hAnsi="Book Antiqua"/>
          <w:bCs/>
          <w:sz w:val="22"/>
          <w:szCs w:val="22"/>
          <w:lang w:eastAsia="es-ES"/>
        </w:rPr>
        <w:t>Alcaldes que adhieren a la Nueva Mayoría</w:t>
      </w:r>
      <w:r w:rsidR="003820F7">
        <w:rPr>
          <w:rFonts w:ascii="Book Antiqua" w:hAnsi="Book Antiqua"/>
          <w:bCs/>
          <w:sz w:val="22"/>
          <w:szCs w:val="22"/>
          <w:lang w:eastAsia="es-ES"/>
        </w:rPr>
        <w:t>,</w:t>
      </w:r>
      <w:r>
        <w:rPr>
          <w:rFonts w:ascii="Book Antiqua" w:hAnsi="Book Antiqua"/>
          <w:bCs/>
          <w:sz w:val="22"/>
          <w:szCs w:val="22"/>
          <w:lang w:eastAsia="es-ES"/>
        </w:rPr>
        <w:t xml:space="preserve"> en este grupo de comunas</w:t>
      </w:r>
      <w:r w:rsidR="003820F7">
        <w:rPr>
          <w:rFonts w:ascii="Book Antiqua" w:hAnsi="Book Antiqua"/>
          <w:bCs/>
          <w:sz w:val="22"/>
          <w:szCs w:val="22"/>
          <w:lang w:eastAsia="es-ES"/>
        </w:rPr>
        <w:t>,</w:t>
      </w:r>
      <w:r>
        <w:rPr>
          <w:rFonts w:ascii="Book Antiqua" w:hAnsi="Book Antiqua"/>
          <w:bCs/>
          <w:sz w:val="22"/>
          <w:szCs w:val="22"/>
          <w:lang w:eastAsia="es-ES"/>
        </w:rPr>
        <w:t xml:space="preserve"> alcanza a </w:t>
      </w:r>
      <w:r w:rsidR="003820F7">
        <w:rPr>
          <w:rFonts w:ascii="Book Antiqua" w:hAnsi="Book Antiqua"/>
          <w:bCs/>
          <w:sz w:val="22"/>
          <w:szCs w:val="22"/>
          <w:lang w:eastAsia="es-ES"/>
        </w:rPr>
        <w:t xml:space="preserve">los </w:t>
      </w:r>
      <w:r w:rsidRPr="003820F7">
        <w:rPr>
          <w:rFonts w:ascii="Book Antiqua" w:hAnsi="Book Antiqua"/>
          <w:bCs/>
          <w:sz w:val="22"/>
          <w:szCs w:val="22"/>
          <w:lang w:eastAsia="es-ES"/>
        </w:rPr>
        <w:t>1</w:t>
      </w:r>
      <w:r w:rsidR="003820F7">
        <w:rPr>
          <w:rFonts w:ascii="Book Antiqua" w:hAnsi="Book Antiqua"/>
          <w:bCs/>
          <w:sz w:val="22"/>
          <w:szCs w:val="22"/>
          <w:lang w:eastAsia="es-ES"/>
        </w:rPr>
        <w:t>.</w:t>
      </w:r>
      <w:r w:rsidRPr="003820F7">
        <w:rPr>
          <w:rFonts w:ascii="Book Antiqua" w:hAnsi="Book Antiqua"/>
          <w:bCs/>
          <w:sz w:val="22"/>
          <w:szCs w:val="22"/>
          <w:lang w:eastAsia="es-ES"/>
        </w:rPr>
        <w:t>503</w:t>
      </w:r>
      <w:r w:rsidR="003820F7">
        <w:rPr>
          <w:rFonts w:ascii="Book Antiqua" w:hAnsi="Book Antiqua"/>
          <w:bCs/>
          <w:sz w:val="22"/>
          <w:szCs w:val="22"/>
          <w:lang w:eastAsia="es-ES"/>
        </w:rPr>
        <w:t>.</w:t>
      </w:r>
      <w:r w:rsidRPr="003820F7">
        <w:rPr>
          <w:rFonts w:ascii="Book Antiqua" w:hAnsi="Book Antiqua"/>
          <w:bCs/>
          <w:sz w:val="22"/>
          <w:szCs w:val="22"/>
          <w:lang w:eastAsia="es-ES"/>
        </w:rPr>
        <w:t>190</w:t>
      </w:r>
      <w:r w:rsidR="003820F7">
        <w:rPr>
          <w:rFonts w:ascii="Calibri" w:hAnsi="Calibri"/>
          <w:color w:val="000000"/>
          <w:sz w:val="20"/>
          <w:szCs w:val="20"/>
          <w:lang w:val="es-ES" w:eastAsia="es-ES"/>
        </w:rPr>
        <w:t xml:space="preserve"> </w:t>
      </w:r>
      <w:r w:rsidRPr="001613D6">
        <w:rPr>
          <w:rFonts w:ascii="Book Antiqua" w:hAnsi="Book Antiqua"/>
          <w:bCs/>
          <w:sz w:val="22"/>
          <w:szCs w:val="22"/>
          <w:lang w:eastAsia="es-ES"/>
        </w:rPr>
        <w:t>que equivale al 38.</w:t>
      </w:r>
      <w:r>
        <w:rPr>
          <w:rFonts w:ascii="Book Antiqua" w:hAnsi="Book Antiqua"/>
          <w:bCs/>
          <w:sz w:val="22"/>
          <w:szCs w:val="22"/>
          <w:lang w:eastAsia="es-ES"/>
        </w:rPr>
        <w:t>6</w:t>
      </w:r>
      <w:r w:rsidRPr="001613D6">
        <w:rPr>
          <w:rFonts w:ascii="Book Antiqua" w:hAnsi="Book Antiqua"/>
          <w:bCs/>
          <w:sz w:val="22"/>
          <w:szCs w:val="22"/>
          <w:lang w:eastAsia="es-ES"/>
        </w:rPr>
        <w:t xml:space="preserve">% del total </w:t>
      </w:r>
      <w:r>
        <w:rPr>
          <w:rFonts w:ascii="Book Antiqua" w:hAnsi="Book Antiqua"/>
          <w:bCs/>
          <w:sz w:val="22"/>
          <w:szCs w:val="22"/>
          <w:lang w:eastAsia="es-ES"/>
        </w:rPr>
        <w:t>y el año 2016 se le asigna, el 90% de los recursos.</w:t>
      </w:r>
    </w:p>
    <w:p w:rsidR="00781624" w:rsidRPr="00781624" w:rsidRDefault="00781624"/>
    <w:sectPr w:rsidR="00781624" w:rsidRPr="007816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29" w:rsidRDefault="00DD5529" w:rsidP="00781624">
      <w:r>
        <w:separator/>
      </w:r>
    </w:p>
  </w:endnote>
  <w:endnote w:type="continuationSeparator" w:id="0">
    <w:p w:rsidR="00DD5529" w:rsidRDefault="00DD5529" w:rsidP="0078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29" w:rsidRDefault="00DD5529" w:rsidP="00781624">
      <w:r>
        <w:separator/>
      </w:r>
    </w:p>
  </w:footnote>
  <w:footnote w:type="continuationSeparator" w:id="0">
    <w:p w:rsidR="00DD5529" w:rsidRDefault="00DD5529" w:rsidP="00781624">
      <w:r>
        <w:continuationSeparator/>
      </w:r>
    </w:p>
  </w:footnote>
  <w:footnote w:id="1">
    <w:p w:rsidR="00781624" w:rsidRDefault="00781624" w:rsidP="00781624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D9255F">
          <w:rPr>
            <w:rStyle w:val="Hipervnculo"/>
          </w:rPr>
          <w:t>http://www.subdere.gov.cl/programas/divisi%C3%B3n-municipalidades/programa-mejoramiento-urbano-y-equipamiento-comunal-pmu</w:t>
        </w:r>
      </w:hyperlink>
      <w:r>
        <w:t xml:space="preserve"> </w:t>
      </w:r>
    </w:p>
  </w:footnote>
  <w:footnote w:id="2">
    <w:p w:rsidR="00781624" w:rsidRDefault="00781624" w:rsidP="00781624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D9255F">
          <w:rPr>
            <w:rStyle w:val="Hipervnculo"/>
          </w:rPr>
          <w:t>http://www.subdere.gov.cl/programas/divisi%C3%B3n-municipalidades/programa-mejoramiento-de-barrios-pmb</w:t>
        </w:r>
      </w:hyperlink>
      <w:r>
        <w:t xml:space="preserve"> </w:t>
      </w:r>
    </w:p>
  </w:footnote>
  <w:footnote w:id="3">
    <w:p w:rsidR="00781624" w:rsidRPr="00B93666" w:rsidRDefault="00781624" w:rsidP="00781624">
      <w:pPr>
        <w:pStyle w:val="HTMLconformatoprevio"/>
        <w:shd w:val="clear" w:color="auto" w:fill="FFFFFF"/>
        <w:rPr>
          <w:color w:val="666666"/>
          <w:sz w:val="15"/>
          <w:szCs w:val="15"/>
          <w:lang w:val="es-CL" w:eastAsia="es-CL"/>
        </w:rPr>
      </w:pPr>
      <w:r>
        <w:rPr>
          <w:rStyle w:val="Refdenotaalpie"/>
        </w:rPr>
        <w:footnoteRef/>
      </w:r>
      <w:r>
        <w:t xml:space="preserve"> </w:t>
      </w:r>
      <w:r w:rsidRPr="00B93666">
        <w:rPr>
          <w:rFonts w:ascii="Times New Roman" w:hAnsi="Times New Roman" w:cs="Times New Roman"/>
          <w:sz w:val="18"/>
          <w:szCs w:val="18"/>
          <w:lang w:val="es-CL" w:eastAsia="es-CL"/>
        </w:rPr>
        <w:t xml:space="preserve">Información obtenida a través de la aplicación de la </w:t>
      </w:r>
      <w:r>
        <w:rPr>
          <w:rFonts w:ascii="Times New Roman" w:hAnsi="Times New Roman" w:cs="Times New Roman"/>
          <w:sz w:val="18"/>
          <w:szCs w:val="18"/>
          <w:lang w:val="es-CL" w:eastAsia="es-CL"/>
        </w:rPr>
        <w:t xml:space="preserve">Ley N°. 20.285 </w:t>
      </w:r>
      <w:r w:rsidRPr="00B93666">
        <w:rPr>
          <w:rFonts w:ascii="Times New Roman" w:hAnsi="Times New Roman" w:cs="Times New Roman"/>
          <w:sz w:val="18"/>
          <w:szCs w:val="18"/>
          <w:lang w:val="es-CL" w:eastAsia="es-CL"/>
        </w:rPr>
        <w:t>sobre acceso a la información pública</w:t>
      </w:r>
    </w:p>
  </w:footnote>
  <w:footnote w:id="4">
    <w:p w:rsidR="00781624" w:rsidRDefault="00781624" w:rsidP="00781624">
      <w:pPr>
        <w:pStyle w:val="Textonotapie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proofErr w:type="gramStart"/>
      <w:r w:rsidRPr="00BA247D">
        <w:rPr>
          <w:sz w:val="18"/>
          <w:szCs w:val="18"/>
        </w:rPr>
        <w:t>Total</w:t>
      </w:r>
      <w:proofErr w:type="gramEnd"/>
      <w:r w:rsidRPr="00BA247D">
        <w:rPr>
          <w:sz w:val="18"/>
          <w:szCs w:val="18"/>
        </w:rPr>
        <w:t xml:space="preserve"> PMU 2014 – 2015 – </w:t>
      </w:r>
      <w:r>
        <w:rPr>
          <w:sz w:val="18"/>
          <w:szCs w:val="18"/>
        </w:rPr>
        <w:t xml:space="preserve">Primer Semestre </w:t>
      </w:r>
      <w:r w:rsidRPr="00BA247D">
        <w:rPr>
          <w:sz w:val="18"/>
          <w:szCs w:val="18"/>
        </w:rPr>
        <w:t>2016: $ 217.967.889.586</w:t>
      </w:r>
    </w:p>
    <w:p w:rsidR="00781624" w:rsidRDefault="00781624" w:rsidP="00781624">
      <w:pPr>
        <w:pStyle w:val="Textonotapie"/>
      </w:pPr>
      <w:r>
        <w:rPr>
          <w:sz w:val="18"/>
          <w:szCs w:val="18"/>
        </w:rPr>
        <w:t xml:space="preserve">  </w:t>
      </w:r>
      <w:proofErr w:type="gramStart"/>
      <w:r>
        <w:rPr>
          <w:sz w:val="18"/>
          <w:szCs w:val="18"/>
        </w:rPr>
        <w:t>Total</w:t>
      </w:r>
      <w:proofErr w:type="gramEnd"/>
      <w:r>
        <w:rPr>
          <w:sz w:val="18"/>
          <w:szCs w:val="18"/>
        </w:rPr>
        <w:t xml:space="preserve"> PMB </w:t>
      </w:r>
      <w:r w:rsidRPr="00BA247D">
        <w:rPr>
          <w:sz w:val="18"/>
          <w:szCs w:val="18"/>
        </w:rPr>
        <w:t xml:space="preserve">2014 – 2015 – </w:t>
      </w:r>
      <w:r>
        <w:rPr>
          <w:sz w:val="18"/>
          <w:szCs w:val="18"/>
        </w:rPr>
        <w:t xml:space="preserve">Primer Semestre </w:t>
      </w:r>
      <w:r w:rsidRPr="00BA247D">
        <w:rPr>
          <w:sz w:val="18"/>
          <w:szCs w:val="18"/>
        </w:rPr>
        <w:t>2016: $</w:t>
      </w:r>
      <w:r>
        <w:rPr>
          <w:sz w:val="18"/>
          <w:szCs w:val="18"/>
        </w:rPr>
        <w:t xml:space="preserve"> 122.498.560.564</w:t>
      </w:r>
    </w:p>
  </w:footnote>
  <w:footnote w:id="5">
    <w:p w:rsidR="00781624" w:rsidRDefault="00781624" w:rsidP="00781624">
      <w:pPr>
        <w:pStyle w:val="Textonotapie"/>
      </w:pPr>
      <w:r>
        <w:rPr>
          <w:rStyle w:val="Refdenotaalpie"/>
        </w:rPr>
        <w:footnoteRef/>
      </w:r>
      <w:r>
        <w:t xml:space="preserve"> Valor del dólar $ 651 al 16 de agosto de 2016.</w:t>
      </w:r>
    </w:p>
  </w:footnote>
  <w:footnote w:id="6">
    <w:p w:rsidR="00781624" w:rsidRDefault="00781624" w:rsidP="00781624">
      <w:pPr>
        <w:pStyle w:val="Textonotapie"/>
      </w:pPr>
      <w:r>
        <w:rPr>
          <w:rStyle w:val="Refdenotaalpie"/>
        </w:rPr>
        <w:footnoteRef/>
      </w:r>
      <w:r>
        <w:t xml:space="preserve"> La recaudación 2015 del evento de la Teletón alcanzó </w:t>
      </w:r>
      <w:r w:rsidRPr="008F63A3">
        <w:rPr>
          <w:sz w:val="18"/>
          <w:szCs w:val="18"/>
        </w:rPr>
        <w:t xml:space="preserve">los $ </w:t>
      </w:r>
      <w:r>
        <w:rPr>
          <w:sz w:val="18"/>
          <w:szCs w:val="18"/>
        </w:rPr>
        <w:t>30.601.978.</w:t>
      </w:r>
      <w:r w:rsidRPr="008F63A3">
        <w:rPr>
          <w:sz w:val="18"/>
          <w:szCs w:val="18"/>
        </w:rPr>
        <w:t>621</w:t>
      </w:r>
      <w:r>
        <w:rPr>
          <w:sz w:val="18"/>
          <w:szCs w:val="18"/>
        </w:rPr>
        <w:t>, aproximadamente US$ 40 millones.</w:t>
      </w:r>
    </w:p>
  </w:footnote>
  <w:footnote w:id="7">
    <w:p w:rsidR="000732D8" w:rsidRDefault="000732D8" w:rsidP="000732D8">
      <w:pPr>
        <w:pStyle w:val="Textonotapie"/>
      </w:pPr>
      <w:r>
        <w:rPr>
          <w:rStyle w:val="Refdenotaalpie"/>
        </w:rPr>
        <w:footnoteRef/>
      </w:r>
      <w:r>
        <w:t xml:space="preserve"> Maipú, Puente Alto; Viña del Mar, La Florida, Valparaíso, Santiago, Antofagasta, Temuco, Las Condes, San Bernardo, Concepción, Huechuraba, La Reina, Ñuñoa, Providencia, Puerto Montt, Recoleta.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43A2E"/>
    <w:multiLevelType w:val="hybridMultilevel"/>
    <w:tmpl w:val="886E72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3FA3"/>
    <w:multiLevelType w:val="hybridMultilevel"/>
    <w:tmpl w:val="990AB4C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5A49"/>
    <w:multiLevelType w:val="hybridMultilevel"/>
    <w:tmpl w:val="7712603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F7A45"/>
    <w:multiLevelType w:val="hybridMultilevel"/>
    <w:tmpl w:val="13EA5688"/>
    <w:lvl w:ilvl="0" w:tplc="0860A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24"/>
    <w:rsid w:val="00032E38"/>
    <w:rsid w:val="000732D8"/>
    <w:rsid w:val="001C585E"/>
    <w:rsid w:val="002F54F8"/>
    <w:rsid w:val="0031624E"/>
    <w:rsid w:val="003820F7"/>
    <w:rsid w:val="003F3638"/>
    <w:rsid w:val="00472F03"/>
    <w:rsid w:val="0048113F"/>
    <w:rsid w:val="00532546"/>
    <w:rsid w:val="005711E9"/>
    <w:rsid w:val="00670667"/>
    <w:rsid w:val="0075738E"/>
    <w:rsid w:val="00781624"/>
    <w:rsid w:val="007A2F37"/>
    <w:rsid w:val="008F770A"/>
    <w:rsid w:val="009F4965"/>
    <w:rsid w:val="00AC0F3F"/>
    <w:rsid w:val="00AC5E5F"/>
    <w:rsid w:val="00BB259B"/>
    <w:rsid w:val="00BD6B9D"/>
    <w:rsid w:val="00DD5529"/>
    <w:rsid w:val="00EB5171"/>
    <w:rsid w:val="00FD421C"/>
    <w:rsid w:val="00FF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102F"/>
  <w15:chartTrackingRefBased/>
  <w15:docId w15:val="{78BF494F-44B7-409E-9D3B-43E4C637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1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tulo2">
    <w:name w:val="heading 2"/>
    <w:basedOn w:val="Normal"/>
    <w:link w:val="Ttulo2Car"/>
    <w:uiPriority w:val="9"/>
    <w:qFormat/>
    <w:rsid w:val="00781624"/>
    <w:pPr>
      <w:spacing w:before="100" w:beforeAutospacing="1" w:after="100" w:afterAutospacing="1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81624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78162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81624"/>
    <w:rPr>
      <w:rFonts w:ascii="Times New Roman" w:eastAsia="Times New Roman" w:hAnsi="Times New Roman" w:cs="Times New Roman"/>
      <w:sz w:val="20"/>
      <w:szCs w:val="20"/>
      <w:lang w:val="es-CL" w:eastAsia="es-CL"/>
    </w:rPr>
  </w:style>
  <w:style w:type="character" w:styleId="Refdenotaalpie">
    <w:name w:val="footnote reference"/>
    <w:uiPriority w:val="99"/>
    <w:rsid w:val="00781624"/>
    <w:rPr>
      <w:vertAlign w:val="superscript"/>
    </w:rPr>
  </w:style>
  <w:style w:type="paragraph" w:styleId="Prrafodelista">
    <w:name w:val="List Paragraph"/>
    <w:basedOn w:val="Normal"/>
    <w:link w:val="PrrafodelistaCar"/>
    <w:uiPriority w:val="34"/>
    <w:qFormat/>
    <w:rsid w:val="00781624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781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81624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781624"/>
    <w:pPr>
      <w:spacing w:before="100" w:beforeAutospacing="1" w:after="100" w:afterAutospacing="1"/>
    </w:pPr>
    <w:rPr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781624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uiPriority w:val="99"/>
    <w:unhideWhenUsed/>
    <w:rsid w:val="0078162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20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0F7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3820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0F7"/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table" w:styleId="Tabladecuadrcula4-nfasis1">
    <w:name w:val="Grid Table 4 Accent 1"/>
    <w:basedOn w:val="Tablanormal"/>
    <w:uiPriority w:val="49"/>
    <w:rsid w:val="001C58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chart" Target="charts/chart4.xml"/><Relationship Id="rId19" Type="http://schemas.openxmlformats.org/officeDocument/2006/relationships/chart" Target="charts/chart8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bdere.gov.cl/programas/divisi%C3%B3n-municipalidades/programa-mejoramiento-de-barrios-pmb" TargetMode="External"/><Relationship Id="rId1" Type="http://schemas.openxmlformats.org/officeDocument/2006/relationships/hyperlink" Target="http://www.subdere.gov.cl/programas/divisi%C3%B3n-municipalidades/programa-mejoramiento-urbano-y-equipamiento-comunal-pm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s%20Espinoza\Desktop\Nicolas%20Monckeberg\Fiscalizaci&#243;n\SUBDERE%20PMU%20-%20PMB\RESULTADOS%20CRUCES%20PMB%20-%20PMU%20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s%20Espinoza\Desktop\Nicolas%20Monckeberg\Fiscalizaci&#243;n\SUBDERE%20PMU%20-%20PMB\RESULTADOS%20CRUCES%20PMB%20-%20PMU%20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s%20Espinoza\Desktop\Nicolas%20Monckeberg\Fiscalizaci&#243;n\SUBDERE%20PMU%20-%20PMB\RESULTADOS%20CRUCES%20PMB%20-%20PMU%20V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Luis%20Espinoza\Desktop\Nicolas%20Monckeberg\Fiscalizaci&#243;n\SUBDERE%20PMU%20-%20PMB\RESULTADOS%20CRUCES%20PMB%20-%20PMU%20V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s%20Espinoza\Desktop\Nicolas%20Monckeberg\Fiscalizaci&#243;n\SUBDERE%20PMU%20-%20PMB\RESULTADOS%20CRUCES%20PMB%20-%20PMU%20V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is%20Espinoza\Desktop\Nicolas%20Monckeberg\Fiscalizaci&#243;n\SUBDERE%20PMU%20-%20PMB\RESULTADOS%20CRUCES%20PMB%20-%20PMU%20V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3419572553430819E-2"/>
          <c:y val="0.24021062182042061"/>
          <c:w val="0.92586352148272955"/>
          <c:h val="0.62338020152305951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Nueva Mayoría</c:v>
                </c:pt>
              </c:strCache>
            </c:strRef>
          </c:tx>
          <c:marker>
            <c:symbol val="circle"/>
            <c:size val="7"/>
          </c:marker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2B5-45D5-8019-C7E307C04CD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82B5-45D5-8019-C7E307C04CD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5-82B5-45D5-8019-C7E307C04CD9}"/>
              </c:ext>
            </c:extLst>
          </c:dPt>
          <c:dLbls>
            <c:spPr>
              <a:noFill/>
              <a:ln w="25383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Hoja1!$A$2:$A$4</c:f>
              <c:strCach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57.9</c:v>
                </c:pt>
                <c:pt idx="1">
                  <c:v>62.9</c:v>
                </c:pt>
                <c:pt idx="2">
                  <c:v>69.099999999999994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82B5-45D5-8019-C7E307C04CD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Chile Vamos</c:v>
                </c:pt>
              </c:strCache>
            </c:strRef>
          </c:tx>
          <c:marker>
            <c:symbol val="circle"/>
            <c:size val="7"/>
          </c:marker>
          <c:dLbls>
            <c:spPr>
              <a:noFill/>
              <a:ln w="25383">
                <a:noFill/>
              </a:ln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Hoja1!$A$2:$A$4</c:f>
              <c:strCache>
                <c:ptCount val="3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38</c:v>
                </c:pt>
                <c:pt idx="1">
                  <c:v>32.700000000000003</c:v>
                </c:pt>
                <c:pt idx="2">
                  <c:v>27.8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2B5-45D5-8019-C7E307C04C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491904"/>
        <c:axId val="1"/>
      </c:lineChart>
      <c:catAx>
        <c:axId val="19149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15"/>
        </c:scaling>
        <c:delete val="1"/>
        <c:axPos val="l"/>
        <c:numFmt formatCode="General" sourceLinked="1"/>
        <c:majorTickMark val="out"/>
        <c:minorTickMark val="none"/>
        <c:tickLblPos val="nextTo"/>
        <c:crossAx val="1914919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99">
          <a:latin typeface="Book Antiqua" panose="02040602050305030304" pitchFamily="18" charset="0"/>
        </a:defRPr>
      </a:pPr>
      <a:endParaRPr lang="es-E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Distribución PMB 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E26-4700-9241-51E68A7B68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E26-4700-9241-51E68A7B68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E26-4700-9241-51E68A7B68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E26-4700-9241-51E68A7B68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'RESULTADOS PMB'!$AF$6:$AI$6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PMB'!$AF$7:$AI$7</c:f>
              <c:numCache>
                <c:formatCode>0.0</c:formatCode>
                <c:ptCount val="4"/>
                <c:pt idx="0">
                  <c:v>63.104391425317793</c:v>
                </c:pt>
                <c:pt idx="1">
                  <c:v>30.957230284172734</c:v>
                </c:pt>
                <c:pt idx="2">
                  <c:v>2.7210734660078226</c:v>
                </c:pt>
                <c:pt idx="3">
                  <c:v>3.2173048245016473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E26-4700-9241-51E68A7B68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Distribución PMB 2014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5BD-45FA-9CF5-F1F4737672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5BD-45FA-9CF5-F1F4737672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5BD-45FA-9CF5-F1F4737672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5BD-45FA-9CF5-F1F4737672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'RESULTADOS PMB'!$AF$2:$AI$2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PMB'!$AF$3:$AI$3</c:f>
              <c:numCache>
                <c:formatCode>0.0</c:formatCode>
                <c:ptCount val="4"/>
                <c:pt idx="0">
                  <c:v>57.09045262720938</c:v>
                </c:pt>
                <c:pt idx="1">
                  <c:v>37.619023407552739</c:v>
                </c:pt>
                <c:pt idx="2">
                  <c:v>4.8921129529819423</c:v>
                </c:pt>
                <c:pt idx="3">
                  <c:v>0.3984110122559405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5BD-45FA-9CF5-F1F4737672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Distribución PMB 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21C-45D4-BD8A-FF43A0A9BF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21C-45D4-BD8A-FF43A0A9BF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21C-45D4-BD8A-FF43A0A9BF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21C-45D4-BD8A-FF43A0A9BF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'RESULTADOS PMB'!$AF$10:$AI$10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PMB'!$AF$11:$AI$11</c:f>
              <c:numCache>
                <c:formatCode>0.0</c:formatCode>
                <c:ptCount val="4"/>
                <c:pt idx="0">
                  <c:v>74.885131529949717</c:v>
                </c:pt>
                <c:pt idx="1">
                  <c:v>17.161669236007405</c:v>
                </c:pt>
                <c:pt idx="2">
                  <c:v>1.1904533336643877</c:v>
                </c:pt>
                <c:pt idx="3">
                  <c:v>6.762745900378496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1C-45D4-BD8A-FF43A0A9B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Distribución</a:t>
            </a:r>
            <a:r>
              <a:rPr lang="es-ES" baseline="0"/>
              <a:t> PMB 2014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5E-4EFB-BB3B-472589CF3F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5E-4EFB-BB3B-472589CF3F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5E-4EFB-BB3B-472589CF3F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5E-4EFB-BB3B-472589CF3F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'RESULTADOS PMB'!$Z$2:$AC$2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PMB'!$Z$3:$AC$3</c:f>
              <c:numCache>
                <c:formatCode>0.00</c:formatCode>
                <c:ptCount val="4"/>
                <c:pt idx="0">
                  <c:v>55</c:v>
                </c:pt>
                <c:pt idx="1">
                  <c:v>38.87096774193548</c:v>
                </c:pt>
                <c:pt idx="2">
                  <c:v>5.161290322580645</c:v>
                </c:pt>
                <c:pt idx="3">
                  <c:v>0.967741935483871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35E-4EFB-BB3B-472589CF3F32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35E-4EFB-BB3B-472589CF3F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F35E-4EFB-BB3B-472589CF3F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F35E-4EFB-BB3B-472589CF3F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F35E-4EFB-BB3B-472589CF3F32}"/>
              </c:ext>
            </c:extLst>
          </c:dPt>
          <c:cat>
            <c:strRef>
              <c:f>'RESULTADOS PMB'!$Z$2:$AC$2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PMB'!$Z$4:$AC$4</c:f>
              <c:numCache>
                <c:formatCode>0.00</c:formatCode>
                <c:ptCount val="4"/>
                <c:pt idx="0">
                  <c:v>57.09045262720938</c:v>
                </c:pt>
                <c:pt idx="1">
                  <c:v>37.619023407552739</c:v>
                </c:pt>
                <c:pt idx="2">
                  <c:v>4.8921129529819423</c:v>
                </c:pt>
                <c:pt idx="3">
                  <c:v>0.3984110122559405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F35E-4EFB-BB3B-472589CF3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Distribución PMU 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4E7-49D9-9DD3-3C3B13B340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4E7-49D9-9DD3-3C3B13B340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4E7-49D9-9DD3-3C3B13B340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4E7-49D9-9DD3-3C3B13B340C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'RESULTADOS PMU'!$AE$6:$AH$6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PMU'!$AE$7:$AH$7</c:f>
              <c:numCache>
                <c:formatCode>0.0</c:formatCode>
                <c:ptCount val="4"/>
                <c:pt idx="0">
                  <c:v>62.735121837130208</c:v>
                </c:pt>
                <c:pt idx="1">
                  <c:v>33.56189978279054</c:v>
                </c:pt>
                <c:pt idx="2">
                  <c:v>3.628082232806491</c:v>
                </c:pt>
                <c:pt idx="3">
                  <c:v>7.4896147272758881E-2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4E7-49D9-9DD3-3C3B13B340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Distribución PMU 2016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CC0-4FDF-AE17-F85EB6D9BD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CC0-4FDF-AE17-F85EB6D9BDC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CC0-4FDF-AE17-F85EB6D9BDC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CC0-4FDF-AE17-F85EB6D9BD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'RESULTADOS PMU'!$AE$10:$AH$10</c:f>
              <c:strCache>
                <c:ptCount val="4"/>
                <c:pt idx="0">
                  <c:v>NUEVA MAYORIA</c:v>
                </c:pt>
                <c:pt idx="1">
                  <c:v>CHILEVAMOS</c:v>
                </c:pt>
                <c:pt idx="2">
                  <c:v>PRO</c:v>
                </c:pt>
                <c:pt idx="3">
                  <c:v>FUERA PACTO / OTROS</c:v>
                </c:pt>
              </c:strCache>
            </c:strRef>
          </c:cat>
          <c:val>
            <c:numRef>
              <c:f>'RESULTADOS PMU'!$AE$11:$AH$11</c:f>
              <c:numCache>
                <c:formatCode>0.0</c:formatCode>
                <c:ptCount val="4"/>
                <c:pt idx="0">
                  <c:v>65.97370156590722</c:v>
                </c:pt>
                <c:pt idx="1">
                  <c:v>33.551180834771806</c:v>
                </c:pt>
                <c:pt idx="2">
                  <c:v>0.47511759932097497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C0-4FDF-AE17-F85EB6D9BD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4.3419572553430819E-2"/>
          <c:y val="0.16641146915319946"/>
          <c:w val="0.92586352148272955"/>
          <c:h val="0.670838374677544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Nueva Mayoría</c:v>
                </c:pt>
              </c:strCache>
            </c:strRef>
          </c:tx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B8A-42C8-A998-AC4C9622BD40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B8A-42C8-A998-AC4C9622BD40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B8A-42C8-A998-AC4C9622BD40}"/>
              </c:ext>
            </c:extLst>
          </c:dPt>
          <c:dLbls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2014</c:v>
                </c:pt>
                <c:pt idx="1">
                  <c:v>2016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46.5</c:v>
                </c:pt>
                <c:pt idx="1">
                  <c:v>89.6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8A-42C8-A998-AC4C9622BD4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Chile Vamos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7.3799053230368852E-2"/>
                </c:manualLayout>
              </c:layout>
              <c:spPr>
                <a:noFill/>
                <a:ln w="25383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s-E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B8A-42C8-A998-AC4C9622BD40}"/>
                </c:ext>
              </c:extLst>
            </c:dLbl>
            <c:spPr>
              <a:noFill/>
              <a:ln w="25383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Hoja1!$A$2:$A$3</c:f>
              <c:strCache>
                <c:ptCount val="2"/>
                <c:pt idx="0">
                  <c:v>2014</c:v>
                </c:pt>
                <c:pt idx="1">
                  <c:v>2016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53.5</c:v>
                </c:pt>
                <c:pt idx="1">
                  <c:v>10.400000000000006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8A-42C8-A998-AC4C9622BD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83"/>
        <c:axId val="153258680"/>
        <c:axId val="1"/>
      </c:barChart>
      <c:catAx>
        <c:axId val="153258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5325868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99">
          <a:latin typeface="Book Antiqua" panose="02040602050305030304" pitchFamily="18" charset="0"/>
        </a:defRPr>
      </a:pPr>
      <a:endParaRPr lang="es-E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0.11659</cdr:x>
      <cdr:y>0.41585</cdr:y>
    </cdr:from>
    <cdr:to>
      <cdr:x>0.171</cdr:x>
      <cdr:y>0.62708</cdr:y>
    </cdr:to>
    <cdr:sp macro="" textlink="">
      <cdr:nvSpPr>
        <cdr:cNvPr id="2" name="1 Abrir llave"/>
        <cdr:cNvSpPr/>
      </cdr:nvSpPr>
      <cdr:spPr>
        <a:xfrm xmlns:a="http://schemas.openxmlformats.org/drawingml/2006/main">
          <a:off x="357810" y="1001865"/>
          <a:ext cx="166976" cy="508884"/>
        </a:xfrm>
        <a:prstGeom xmlns:a="http://schemas.openxmlformats.org/drawingml/2006/main" prst="leftBrac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ES"/>
        </a:p>
      </cdr:txBody>
    </cdr:sp>
  </cdr:relSizeAnchor>
  <cdr:relSizeAnchor xmlns:cdr="http://schemas.openxmlformats.org/drawingml/2006/chartDrawing">
    <cdr:from>
      <cdr:x>0.84722</cdr:x>
      <cdr:y>0.30694</cdr:y>
    </cdr:from>
    <cdr:to>
      <cdr:x>0.90422</cdr:x>
      <cdr:y>0.72939</cdr:y>
    </cdr:to>
    <cdr:sp macro="" textlink="">
      <cdr:nvSpPr>
        <cdr:cNvPr id="3" name="2 Cerrar llave"/>
        <cdr:cNvSpPr/>
      </cdr:nvSpPr>
      <cdr:spPr>
        <a:xfrm xmlns:a="http://schemas.openxmlformats.org/drawingml/2006/main">
          <a:off x="2600077" y="739471"/>
          <a:ext cx="174928" cy="1017767"/>
        </a:xfrm>
        <a:prstGeom xmlns:a="http://schemas.openxmlformats.org/drawingml/2006/main" prst="rightBrac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s-ES"/>
        </a:p>
      </cdr:txBody>
    </cdr:sp>
  </cdr:relSizeAnchor>
  <cdr:relSizeAnchor xmlns:cdr="http://schemas.openxmlformats.org/drawingml/2006/chartDrawing">
    <cdr:from>
      <cdr:x>0</cdr:x>
      <cdr:y>0.43895</cdr:y>
    </cdr:from>
    <cdr:to>
      <cdr:x>0.15286</cdr:x>
      <cdr:y>0.63698</cdr:y>
    </cdr:to>
    <cdr:sp macro="" textlink="">
      <cdr:nvSpPr>
        <cdr:cNvPr id="4" name="3 Rectángulo"/>
        <cdr:cNvSpPr/>
      </cdr:nvSpPr>
      <cdr:spPr>
        <a:xfrm xmlns:a="http://schemas.openxmlformats.org/drawingml/2006/main">
          <a:off x="-2353586" y="1057525"/>
          <a:ext cx="469127" cy="4770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es-CL" sz="800" b="0">
              <a:solidFill>
                <a:sysClr val="windowText" lastClr="000000"/>
              </a:solidFill>
              <a:latin typeface="Book Antiqua" panose="02040602050305030304" pitchFamily="18" charset="0"/>
            </a:rPr>
            <a:t>1,5 veces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1889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Espinoza</dc:creator>
  <cp:keywords/>
  <dc:description/>
  <cp:lastModifiedBy>Luis Espinoza</cp:lastModifiedBy>
  <cp:revision>3</cp:revision>
  <dcterms:created xsi:type="dcterms:W3CDTF">2016-08-18T18:27:00Z</dcterms:created>
  <dcterms:modified xsi:type="dcterms:W3CDTF">2016-08-18T18:27:00Z</dcterms:modified>
</cp:coreProperties>
</file>